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33" w:rsidRPr="005A4933" w:rsidRDefault="005A4933" w:rsidP="005A4933">
      <w:pPr>
        <w:rPr>
          <w:rFonts w:ascii="Times New Roman" w:hAnsi="Times New Roman" w:cs="Times New Roman"/>
          <w:b/>
          <w:sz w:val="60"/>
          <w:szCs w:val="60"/>
          <w:lang w:eastAsia="cs-CZ"/>
        </w:rPr>
      </w:pPr>
      <w:r w:rsidRPr="005A4933">
        <w:rPr>
          <w:rFonts w:ascii="Times New Roman" w:hAnsi="Times New Roman" w:cs="Times New Roman"/>
          <w:b/>
          <w:sz w:val="60"/>
          <w:szCs w:val="60"/>
          <w:lang w:eastAsia="cs-CZ"/>
        </w:rPr>
        <w:t>Volby do Evropského parlamentu</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Volby do Evropského parlamentu se budou konat ve dnech 23. a 24. května 2014. V pátek 23. května 2014 se bude hlasovat od 14:00 do 22:00 hodin a v sobotu 24. května 2014 se bude hlasovat od 8:00 do 14:00 hodin.</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 xml:space="preserve">Voličem pro volby do Evropského parlamentu je státní občan České republiky, který alespoň druhý den voleb dosáhl věku 18 let a občan jiného členského státu, který alespoň druhý den voleb dosáhl věku 18 let a je po dobu nejméně 45 dnů přihlášen k trvalému pobytu nebo </w:t>
      </w:r>
      <w:r w:rsidRPr="005A4933">
        <w:rPr>
          <w:rFonts w:ascii="Times New Roman" w:hAnsi="Times New Roman" w:cs="Times New Roman"/>
          <w:sz w:val="24"/>
          <w:szCs w:val="24"/>
          <w:lang w:eastAsia="cs-CZ"/>
        </w:rPr>
        <w:br/>
        <w:t>k přechodnému pobytu na území České republiky.</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u w:val="single"/>
          <w:lang w:eastAsia="cs-CZ"/>
        </w:rPr>
        <w:t>Voličský průkaz</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Volič, který je zapsán v seznamu voličů pro volby do Evropského parlamentu vedeném Městským úřadem Vimperk, a který nebude moci nebo nehodlá volit ve „svém“ volebním okrsku, pro který je tento seznam veden, může požádat o vydání voličského průkazu. Voličský průkaz opravňuje voliče ve dnech voleb do Evropského parlamentu k hlasování v jakémkoliv volebním okrsku pouze na území ČR.</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u w:val="single"/>
          <w:lang w:eastAsia="cs-CZ"/>
        </w:rPr>
        <w:t>Zásady hlasování</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Volič prokáže po příchodu do volební místnosti svou totožnost a státní občanství ČR platným občanským průkazem nebo platným cestovním, diplomatickým nebo služebním pasem České republiky anebo cestovním průkazem. Volič, který je občanem jiného členského státu, prokáže po příchodu do volební místnosti svou totožnost a občanství jiného členského státu. Volič, který se dostavil do volební místnosti s voličským průkazem, je poté povinen odevzdat okrskové volební komisi tento průkaz. Neprokáže-li volič svou totožnost a občanství České republiky nebo jiného členského státu, nebude mu hlasování umožněno. Je tedy nezbytné, aby volič měl u sebe platné doklady k prokázání své totožnosti.</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Voliči, který není zapsán ve výpisu ze seznamu voličů pro volby do Evropského parlamentu, okrsková volební komise hlasování neumožní. To neplatí, pokud volič hlasuje na voličský průkaz nebo pokud předloží potvrzení o vyškrtnutí ze zvláštního seznamu voličů vedeného zastupitelským úřadem nebo potvrzení o vyškrtnutí ze seznamu voličů pro volby do Evropského parlamentu v souvislosti se změnou trvalého bydliště a prokáže své právo hlasovat ve volebním okrsku.</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Přímo ve volební místnosti obdrží volič od okrskové volební komise úřední obálku, případně i nové hlasovací lístky.</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V prostoru určeném pro úpravu hlasovacích lístků vloží volič do úřední obálky 1 hlasovací lístek. Na hlasovacím lístku může přitom zakroužkováním pořadového čísla nejvýše u 2 kandidátů uvedených na témže hlasovacím lístku vyznačit, kterému z kandidátů dává přednost. Jiné úpravy hlasovacího lístku nemají na jeho posuzování vliv.</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lastRenderedPageBreak/>
        <w:t xml:space="preserve">Neplatný je hlasovací lístek, který není na předepsaném tiskopise, který je přetržený nebo který není vložen do úřední obálky. Poškození nebo přeložení hlasovacího lístku nemá vliv na jeho platnost, pokud jsou z něho patrné potřebné údaje. Hlas voliče je neplatný, je-li </w:t>
      </w:r>
      <w:r w:rsidRPr="005A4933">
        <w:rPr>
          <w:rFonts w:ascii="Times New Roman" w:hAnsi="Times New Roman" w:cs="Times New Roman"/>
          <w:sz w:val="24"/>
          <w:szCs w:val="24"/>
          <w:lang w:eastAsia="cs-CZ"/>
        </w:rPr>
        <w:br/>
        <w:t>v úřední obálce několik hlasovacích lístků.</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Po opuštění prostoru určeného pro úpravu hlasovacího lístku hlasuje volič tak, že úřední obálku vloží před okrskovou volební komisí do volební schránky.</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Každý volič hlasuje osobně, zastoupení není přípustné. S voličem, který nemůže sám upravit hlasovací lístek pro tělesnou vadu anebo nemůže číst nebo psát, může být v prostoru určeném pro úpravu hlasovacích lístků přítomen jiný volič, nikoliv však člen okrskové volební komise, a hlasovací lístek za něho upravit a vložit do úřední obálky, a popřípadě i úřední obálku vložit do volební schránky.</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Pokud se volič neodebere do prostoru určeného k úpravě hlasovacích lístků, nebude mu hlasování umožněno.</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Nejpozději 3 dny před volbami, tj. 20. května 2014, obdrží každý volič hlasovací lístky do své domovní schránky. Spolu s nimi budou voličům doručeny též informační letáky, které budou obsahovat informace potřebné pro realizaci volebního práva.</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 xml:space="preserve">Volič může požádat ze závažných (zejména zdravotních) důvodů městský úřad a ve dnech voleb okrskovou volební komisi o to, aby mohl hlasovat mimo volební místnost, a to pouze v územním obvodu volebního okrsku, pro který byla okrsková volební komise zřízena. V takovém případě okrsková volební komise vyšle k voliči 2 své členy s přenosnou volební schránkou, úřední obálkou a hlasovacími lístky. Požadavek o hlasování mimo volební místnost je možné nahlásit </w:t>
      </w:r>
      <w:r>
        <w:rPr>
          <w:rFonts w:ascii="Times New Roman" w:hAnsi="Times New Roman" w:cs="Times New Roman"/>
          <w:sz w:val="24"/>
          <w:szCs w:val="24"/>
          <w:lang w:eastAsia="cs-CZ"/>
        </w:rPr>
        <w:t>Marii Vančurové, na tel. č. 388 423 170.</w:t>
      </w:r>
    </w:p>
    <w:p w:rsidR="005A4933" w:rsidRPr="005A4933" w:rsidRDefault="005A4933" w:rsidP="005A4933">
      <w:pPr>
        <w:rPr>
          <w:rFonts w:ascii="Times New Roman" w:hAnsi="Times New Roman" w:cs="Times New Roman"/>
          <w:sz w:val="24"/>
          <w:szCs w:val="24"/>
          <w:lang w:eastAsia="cs-CZ"/>
        </w:rPr>
      </w:pPr>
      <w:r w:rsidRPr="005A4933">
        <w:rPr>
          <w:rFonts w:ascii="Times New Roman" w:hAnsi="Times New Roman" w:cs="Times New Roman"/>
          <w:sz w:val="24"/>
          <w:szCs w:val="24"/>
          <w:lang w:eastAsia="cs-CZ"/>
        </w:rPr>
        <w:t xml:space="preserve">Ve dnech voleb bude zajištěna stálá služba na Městském úřadu ve Vimperku, </w:t>
      </w:r>
      <w:proofErr w:type="spellStart"/>
      <w:r w:rsidRPr="005A4933">
        <w:rPr>
          <w:rFonts w:ascii="Times New Roman" w:hAnsi="Times New Roman" w:cs="Times New Roman"/>
          <w:sz w:val="24"/>
          <w:szCs w:val="24"/>
          <w:lang w:eastAsia="cs-CZ"/>
        </w:rPr>
        <w:t>Steinbrenerova</w:t>
      </w:r>
      <w:proofErr w:type="spellEnd"/>
      <w:r w:rsidRPr="005A4933">
        <w:rPr>
          <w:rFonts w:ascii="Times New Roman" w:hAnsi="Times New Roman" w:cs="Times New Roman"/>
          <w:sz w:val="24"/>
          <w:szCs w:val="24"/>
          <w:lang w:eastAsia="cs-CZ"/>
        </w:rPr>
        <w:t xml:space="preserve"> 6, odboru vnitřních věcí, pro vydání občanského průkazu v případě, že volič bude mít doklad neplatný a není držitelem platného cestovního dokladu. Tento občanský průkaz má omezenou platnost jednoho měsíce od jeho vydání.</w:t>
      </w:r>
      <w:bookmarkStart w:id="0" w:name="_GoBack"/>
      <w:bookmarkEnd w:id="0"/>
    </w:p>
    <w:sectPr w:rsidR="005A4933" w:rsidRPr="005A4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B6BBA"/>
    <w:multiLevelType w:val="multilevel"/>
    <w:tmpl w:val="119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C5C04"/>
    <w:multiLevelType w:val="multilevel"/>
    <w:tmpl w:val="865865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33"/>
    <w:rsid w:val="005A4933"/>
    <w:rsid w:val="00AF2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A4933"/>
    <w:pPr>
      <w:spacing w:before="100" w:beforeAutospacing="1" w:after="100" w:afterAutospacing="1" w:line="240" w:lineRule="auto"/>
      <w:outlineLvl w:val="0"/>
    </w:pPr>
    <w:rPr>
      <w:rFonts w:ascii="Times New Roman" w:eastAsia="Times New Roman" w:hAnsi="Times New Roman" w:cs="Times New Roman"/>
      <w:b/>
      <w:bCs/>
      <w:kern w:val="36"/>
      <w:sz w:val="43"/>
      <w:szCs w:val="43"/>
      <w:lang w:eastAsia="cs-CZ"/>
    </w:rPr>
  </w:style>
  <w:style w:type="paragraph" w:styleId="Nadpis2">
    <w:name w:val="heading 2"/>
    <w:basedOn w:val="Normln"/>
    <w:link w:val="Nadpis2Char"/>
    <w:uiPriority w:val="9"/>
    <w:qFormat/>
    <w:rsid w:val="005A4933"/>
    <w:pPr>
      <w:shd w:val="clear" w:color="auto" w:fill="E0CDA1"/>
      <w:spacing w:before="100" w:beforeAutospacing="1" w:after="100" w:afterAutospacing="1" w:line="240" w:lineRule="auto"/>
      <w:outlineLvl w:val="1"/>
    </w:pPr>
    <w:rPr>
      <w:rFonts w:ascii="Times New Roman" w:eastAsia="Times New Roman" w:hAnsi="Times New Roman" w:cs="Times New Roman"/>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4933"/>
    <w:rPr>
      <w:rFonts w:ascii="Times New Roman" w:eastAsia="Times New Roman" w:hAnsi="Times New Roman" w:cs="Times New Roman"/>
      <w:b/>
      <w:bCs/>
      <w:kern w:val="36"/>
      <w:sz w:val="43"/>
      <w:szCs w:val="43"/>
      <w:lang w:eastAsia="cs-CZ"/>
    </w:rPr>
  </w:style>
  <w:style w:type="character" w:customStyle="1" w:styleId="Nadpis2Char">
    <w:name w:val="Nadpis 2 Char"/>
    <w:basedOn w:val="Standardnpsmoodstavce"/>
    <w:link w:val="Nadpis2"/>
    <w:uiPriority w:val="9"/>
    <w:rsid w:val="005A4933"/>
    <w:rPr>
      <w:rFonts w:ascii="Times New Roman" w:eastAsia="Times New Roman" w:hAnsi="Times New Roman" w:cs="Times New Roman"/>
      <w:sz w:val="36"/>
      <w:szCs w:val="36"/>
      <w:shd w:val="clear" w:color="auto" w:fill="E0CDA1"/>
      <w:lang w:eastAsia="cs-CZ"/>
    </w:rPr>
  </w:style>
  <w:style w:type="character" w:styleId="Hypertextovodkaz">
    <w:name w:val="Hyperlink"/>
    <w:basedOn w:val="Standardnpsmoodstavce"/>
    <w:uiPriority w:val="99"/>
    <w:semiHidden/>
    <w:unhideWhenUsed/>
    <w:rsid w:val="005A4933"/>
    <w:rPr>
      <w:color w:val="660000"/>
      <w:u w:val="single"/>
    </w:rPr>
  </w:style>
  <w:style w:type="character" w:styleId="Siln">
    <w:name w:val="Strong"/>
    <w:basedOn w:val="Standardnpsmoodstavce"/>
    <w:uiPriority w:val="22"/>
    <w:qFormat/>
    <w:rsid w:val="005A4933"/>
    <w:rPr>
      <w:b/>
      <w:bCs/>
    </w:rPr>
  </w:style>
  <w:style w:type="paragraph" w:styleId="Normlnweb">
    <w:name w:val="Normal (Web)"/>
    <w:basedOn w:val="Normln"/>
    <w:uiPriority w:val="99"/>
    <w:semiHidden/>
    <w:unhideWhenUsed/>
    <w:rsid w:val="005A4933"/>
    <w:pPr>
      <w:spacing w:after="168" w:line="240" w:lineRule="auto"/>
      <w:jc w:val="both"/>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A4933"/>
    <w:pPr>
      <w:spacing w:before="100" w:beforeAutospacing="1" w:after="100" w:afterAutospacing="1" w:line="240" w:lineRule="auto"/>
      <w:outlineLvl w:val="0"/>
    </w:pPr>
    <w:rPr>
      <w:rFonts w:ascii="Times New Roman" w:eastAsia="Times New Roman" w:hAnsi="Times New Roman" w:cs="Times New Roman"/>
      <w:b/>
      <w:bCs/>
      <w:kern w:val="36"/>
      <w:sz w:val="43"/>
      <w:szCs w:val="43"/>
      <w:lang w:eastAsia="cs-CZ"/>
    </w:rPr>
  </w:style>
  <w:style w:type="paragraph" w:styleId="Nadpis2">
    <w:name w:val="heading 2"/>
    <w:basedOn w:val="Normln"/>
    <w:link w:val="Nadpis2Char"/>
    <w:uiPriority w:val="9"/>
    <w:qFormat/>
    <w:rsid w:val="005A4933"/>
    <w:pPr>
      <w:shd w:val="clear" w:color="auto" w:fill="E0CDA1"/>
      <w:spacing w:before="100" w:beforeAutospacing="1" w:after="100" w:afterAutospacing="1" w:line="240" w:lineRule="auto"/>
      <w:outlineLvl w:val="1"/>
    </w:pPr>
    <w:rPr>
      <w:rFonts w:ascii="Times New Roman" w:eastAsia="Times New Roman" w:hAnsi="Times New Roman" w:cs="Times New Roman"/>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4933"/>
    <w:rPr>
      <w:rFonts w:ascii="Times New Roman" w:eastAsia="Times New Roman" w:hAnsi="Times New Roman" w:cs="Times New Roman"/>
      <w:b/>
      <w:bCs/>
      <w:kern w:val="36"/>
      <w:sz w:val="43"/>
      <w:szCs w:val="43"/>
      <w:lang w:eastAsia="cs-CZ"/>
    </w:rPr>
  </w:style>
  <w:style w:type="character" w:customStyle="1" w:styleId="Nadpis2Char">
    <w:name w:val="Nadpis 2 Char"/>
    <w:basedOn w:val="Standardnpsmoodstavce"/>
    <w:link w:val="Nadpis2"/>
    <w:uiPriority w:val="9"/>
    <w:rsid w:val="005A4933"/>
    <w:rPr>
      <w:rFonts w:ascii="Times New Roman" w:eastAsia="Times New Roman" w:hAnsi="Times New Roman" w:cs="Times New Roman"/>
      <w:sz w:val="36"/>
      <w:szCs w:val="36"/>
      <w:shd w:val="clear" w:color="auto" w:fill="E0CDA1"/>
      <w:lang w:eastAsia="cs-CZ"/>
    </w:rPr>
  </w:style>
  <w:style w:type="character" w:styleId="Hypertextovodkaz">
    <w:name w:val="Hyperlink"/>
    <w:basedOn w:val="Standardnpsmoodstavce"/>
    <w:uiPriority w:val="99"/>
    <w:semiHidden/>
    <w:unhideWhenUsed/>
    <w:rsid w:val="005A4933"/>
    <w:rPr>
      <w:color w:val="660000"/>
      <w:u w:val="single"/>
    </w:rPr>
  </w:style>
  <w:style w:type="character" w:styleId="Siln">
    <w:name w:val="Strong"/>
    <w:basedOn w:val="Standardnpsmoodstavce"/>
    <w:uiPriority w:val="22"/>
    <w:qFormat/>
    <w:rsid w:val="005A4933"/>
    <w:rPr>
      <w:b/>
      <w:bCs/>
    </w:rPr>
  </w:style>
  <w:style w:type="paragraph" w:styleId="Normlnweb">
    <w:name w:val="Normal (Web)"/>
    <w:basedOn w:val="Normln"/>
    <w:uiPriority w:val="99"/>
    <w:semiHidden/>
    <w:unhideWhenUsed/>
    <w:rsid w:val="005A4933"/>
    <w:pPr>
      <w:spacing w:after="168" w:line="240" w:lineRule="auto"/>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22633">
      <w:bodyDiv w:val="1"/>
      <w:marLeft w:val="0"/>
      <w:marRight w:val="0"/>
      <w:marTop w:val="0"/>
      <w:marBottom w:val="0"/>
      <w:divBdr>
        <w:top w:val="none" w:sz="0" w:space="0" w:color="auto"/>
        <w:left w:val="none" w:sz="0" w:space="0" w:color="auto"/>
        <w:bottom w:val="none" w:sz="0" w:space="0" w:color="auto"/>
        <w:right w:val="none" w:sz="0" w:space="0" w:color="auto"/>
      </w:divBdr>
      <w:divsChild>
        <w:div w:id="826942074">
          <w:marLeft w:val="0"/>
          <w:marRight w:val="0"/>
          <w:marTop w:val="0"/>
          <w:marBottom w:val="0"/>
          <w:divBdr>
            <w:top w:val="none" w:sz="0" w:space="0" w:color="auto"/>
            <w:left w:val="none" w:sz="0" w:space="0" w:color="auto"/>
            <w:bottom w:val="none" w:sz="0" w:space="0" w:color="auto"/>
            <w:right w:val="none" w:sz="0" w:space="0" w:color="auto"/>
          </w:divBdr>
          <w:divsChild>
            <w:div w:id="1324895155">
              <w:marLeft w:val="250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664</Words>
  <Characters>3920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2014-05-19T14:35:00Z</dcterms:created>
  <dcterms:modified xsi:type="dcterms:W3CDTF">2014-05-19T14:43:00Z</dcterms:modified>
</cp:coreProperties>
</file>