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979D" w14:textId="77777777" w:rsidR="008A72AE" w:rsidRPr="00D303F7" w:rsidRDefault="008F76A1" w:rsidP="008A72AE">
      <w:pPr>
        <w:jc w:val="center"/>
        <w:rPr>
          <w:rFonts w:cstheme="minorHAnsi"/>
          <w:b/>
          <w:caps/>
          <w:sz w:val="28"/>
        </w:rPr>
      </w:pPr>
      <w:r w:rsidRPr="00D303F7">
        <w:rPr>
          <w:rFonts w:cstheme="minorHAnsi"/>
          <w:b/>
          <w:caps/>
          <w:sz w:val="28"/>
        </w:rPr>
        <w:t>Technická specifikace předmětu plnění</w:t>
      </w:r>
    </w:p>
    <w:p w14:paraId="2C385C65" w14:textId="77777777" w:rsidR="008A6012" w:rsidRPr="00D303F7" w:rsidRDefault="008A6012" w:rsidP="008A6012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 w:rsidRPr="00D303F7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695378" w:rsidRPr="00D303F7" w14:paraId="0153C8DF" w14:textId="77777777" w:rsidTr="005D1B32">
        <w:tc>
          <w:tcPr>
            <w:tcW w:w="2488" w:type="dxa"/>
            <w:vAlign w:val="center"/>
          </w:tcPr>
          <w:p w14:paraId="093D59FF" w14:textId="77777777" w:rsidR="00695378" w:rsidRPr="00D303F7" w:rsidRDefault="00695378" w:rsidP="00695378">
            <w:pPr>
              <w:spacing w:before="120" w:after="120"/>
              <w:rPr>
                <w:rFonts w:cstheme="minorHAnsi"/>
              </w:rPr>
            </w:pPr>
            <w:r w:rsidRPr="00D303F7">
              <w:rPr>
                <w:rFonts w:cstheme="minorHAnsi"/>
              </w:rPr>
              <w:t>Název</w:t>
            </w:r>
          </w:p>
        </w:tc>
        <w:tc>
          <w:tcPr>
            <w:tcW w:w="6584" w:type="dxa"/>
            <w:vAlign w:val="center"/>
          </w:tcPr>
          <w:p w14:paraId="46ED489E" w14:textId="3B0AADAF" w:rsidR="00695378" w:rsidRPr="00E26596" w:rsidRDefault="00485DFC" w:rsidP="00695378">
            <w:pPr>
              <w:spacing w:before="120" w:after="120"/>
              <w:rPr>
                <w:rFonts w:cstheme="minorHAnsi"/>
              </w:rPr>
            </w:pPr>
            <w:r w:rsidRPr="00485DFC">
              <w:rPr>
                <w:rFonts w:cstheme="minorHAnsi"/>
              </w:rPr>
              <w:t>Pořízení dopravního automobilu pro SDH Horosedly</w:t>
            </w:r>
          </w:p>
        </w:tc>
      </w:tr>
      <w:tr w:rsidR="00695378" w:rsidRPr="00D303F7" w14:paraId="3AEAF28F" w14:textId="77777777" w:rsidTr="005D1B32">
        <w:tc>
          <w:tcPr>
            <w:tcW w:w="2488" w:type="dxa"/>
            <w:vAlign w:val="center"/>
          </w:tcPr>
          <w:p w14:paraId="064DBEEC" w14:textId="77777777" w:rsidR="00695378" w:rsidRPr="00D303F7" w:rsidRDefault="00695378" w:rsidP="00695378">
            <w:pPr>
              <w:spacing w:before="120" w:after="120"/>
              <w:rPr>
                <w:rFonts w:cstheme="minorHAnsi"/>
              </w:rPr>
            </w:pPr>
            <w:r w:rsidRPr="00D303F7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94ACF4C" w14:textId="3B645464" w:rsidR="00695378" w:rsidRDefault="00695378" w:rsidP="00695378">
            <w:pPr>
              <w:spacing w:before="120" w:after="120"/>
              <w:rPr>
                <w:rFonts w:cstheme="minorHAnsi"/>
              </w:rPr>
            </w:pPr>
            <w:r w:rsidRPr="00C75CB3">
              <w:rPr>
                <w:rFonts w:cstheme="minorHAnsi"/>
              </w:rPr>
              <w:t>veřejná zakázka malého rozsahu na dodávky</w:t>
            </w:r>
          </w:p>
        </w:tc>
      </w:tr>
    </w:tbl>
    <w:p w14:paraId="62682DBE" w14:textId="77777777" w:rsidR="008A6012" w:rsidRPr="00D303F7" w:rsidRDefault="008A6012" w:rsidP="008A72AE">
      <w:pPr>
        <w:spacing w:before="40" w:after="40" w:line="240" w:lineRule="auto"/>
        <w:rPr>
          <w:rFonts w:cstheme="minorHAnsi"/>
        </w:rPr>
      </w:pPr>
    </w:p>
    <w:p w14:paraId="51AFAB0A" w14:textId="77777777" w:rsidR="008A6012" w:rsidRPr="00D303F7" w:rsidRDefault="008A6012" w:rsidP="008A6012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 w:rsidRPr="00D303F7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5D1B32" w14:paraId="1E1EC023" w14:textId="77777777" w:rsidTr="005D1B32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CDCD50" w14:textId="77777777" w:rsidR="005D1B32" w:rsidRDefault="005D1B32" w:rsidP="005D1B3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6FDB1B" w14:textId="1964B7F3" w:rsidR="005D1B32" w:rsidRDefault="005D1B32" w:rsidP="005D1B3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Obec </w:t>
            </w:r>
            <w:r w:rsidR="00822411">
              <w:rPr>
                <w:rFonts w:cstheme="minorHAnsi"/>
              </w:rPr>
              <w:t>Čkyně</w:t>
            </w:r>
          </w:p>
        </w:tc>
      </w:tr>
      <w:tr w:rsidR="005D1B32" w14:paraId="3975774D" w14:textId="77777777" w:rsidTr="005D1B32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BDB02C" w14:textId="77777777" w:rsidR="005D1B32" w:rsidRDefault="005D1B32" w:rsidP="005D1B3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88EADB" w14:textId="1AC38B4D" w:rsidR="005D1B32" w:rsidRDefault="00822411" w:rsidP="005D1B32">
            <w:pPr>
              <w:spacing w:before="120" w:after="120"/>
              <w:rPr>
                <w:rFonts w:cstheme="minorHAnsi"/>
              </w:rPr>
            </w:pPr>
            <w:r w:rsidRPr="00822411">
              <w:rPr>
                <w:rFonts w:cstheme="minorHAnsi"/>
              </w:rPr>
              <w:t>00250384/CZ00250384</w:t>
            </w:r>
          </w:p>
        </w:tc>
      </w:tr>
      <w:tr w:rsidR="005D1B32" w14:paraId="335AD9E5" w14:textId="77777777" w:rsidTr="005D1B32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6E8915" w14:textId="77777777" w:rsidR="005D1B32" w:rsidRDefault="005D1B32" w:rsidP="005D1B3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034075" w14:textId="3A44ECAF" w:rsidR="005D1B32" w:rsidRDefault="00822411" w:rsidP="005D1B32">
            <w:pPr>
              <w:spacing w:before="120" w:after="120"/>
              <w:rPr>
                <w:rFonts w:cstheme="minorHAnsi"/>
              </w:rPr>
            </w:pPr>
            <w:r w:rsidRPr="00822411">
              <w:rPr>
                <w:rFonts w:cstheme="minorHAnsi"/>
              </w:rPr>
              <w:t>Čkyně 2, 384 81 Čkyně</w:t>
            </w:r>
          </w:p>
        </w:tc>
      </w:tr>
    </w:tbl>
    <w:p w14:paraId="3F29EF4A" w14:textId="0F5A086F" w:rsidR="00060148" w:rsidRDefault="00060148" w:rsidP="008F76A1">
      <w:pPr>
        <w:tabs>
          <w:tab w:val="left" w:pos="3544"/>
        </w:tabs>
        <w:spacing w:line="240" w:lineRule="auto"/>
        <w:rPr>
          <w:rFonts w:cstheme="minorHAnsi"/>
          <w:highlight w:val="yellow"/>
        </w:rPr>
      </w:pPr>
    </w:p>
    <w:p w14:paraId="4DF5688A" w14:textId="77777777" w:rsidR="00060148" w:rsidRDefault="00060148" w:rsidP="00060148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468"/>
        <w:gridCol w:w="5594"/>
      </w:tblGrid>
      <w:tr w:rsidR="00060148" w14:paraId="4CAB3A51" w14:textId="77777777" w:rsidTr="00AA15E7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B856DD" w14:textId="77777777" w:rsidR="00060148" w:rsidRDefault="00060148" w:rsidP="00AA15E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CE9493A" w14:textId="77777777" w:rsidR="00060148" w:rsidRDefault="00060148" w:rsidP="00AA15E7">
            <w:pPr>
              <w:spacing w:before="120" w:after="120"/>
              <w:rPr>
                <w:rFonts w:cstheme="minorHAnsi"/>
              </w:rPr>
            </w:pPr>
          </w:p>
        </w:tc>
      </w:tr>
      <w:tr w:rsidR="00060148" w14:paraId="3BFD4FCF" w14:textId="77777777" w:rsidTr="00AA15E7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FE92631" w14:textId="77777777" w:rsidR="00060148" w:rsidRDefault="00060148" w:rsidP="00AA15E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E6B0DCE" w14:textId="77777777" w:rsidR="00060148" w:rsidRDefault="00060148" w:rsidP="00AA15E7">
            <w:pPr>
              <w:spacing w:before="120" w:after="120"/>
              <w:rPr>
                <w:rFonts w:cstheme="minorHAnsi"/>
              </w:rPr>
            </w:pPr>
          </w:p>
        </w:tc>
      </w:tr>
    </w:tbl>
    <w:p w14:paraId="0C0243F3" w14:textId="77777777" w:rsidR="00060148" w:rsidRDefault="00060148" w:rsidP="008F76A1">
      <w:pPr>
        <w:tabs>
          <w:tab w:val="left" w:pos="3544"/>
        </w:tabs>
        <w:spacing w:line="240" w:lineRule="auto"/>
        <w:rPr>
          <w:rFonts w:cstheme="minorHAnsi"/>
          <w:highlight w:val="yellow"/>
        </w:rPr>
      </w:pPr>
    </w:p>
    <w:p w14:paraId="18CD05E0" w14:textId="0F1C869A" w:rsidR="00143DBB" w:rsidRDefault="00405C0C" w:rsidP="00405C0C">
      <w:pPr>
        <w:tabs>
          <w:tab w:val="left" w:pos="3544"/>
        </w:tabs>
        <w:spacing w:before="120" w:after="120" w:line="264" w:lineRule="auto"/>
        <w:jc w:val="both"/>
        <w:rPr>
          <w:rFonts w:cstheme="minorHAnsi"/>
        </w:rPr>
      </w:pPr>
      <w:r w:rsidRPr="00405C0C">
        <w:rPr>
          <w:rFonts w:cstheme="minorHAnsi"/>
        </w:rPr>
        <w:t xml:space="preserve">Uvedené technické požadavky pro plnění veřejné zakázky jsou uvedeny jako minimální, zadavatel umožňuje použití i kvalitativně a technicky obdobného řešení při zachování a naplnění požadovaného. Uvedené parametry jsou výčtem minimálních povinných požadavků zadavatele. </w:t>
      </w:r>
      <w:r w:rsidR="00143DBB">
        <w:rPr>
          <w:rFonts w:cstheme="minorHAnsi"/>
        </w:rPr>
        <w:t>Účastník prohlašuje, že nabízený předmět plnění splňuje</w:t>
      </w:r>
      <w:r w:rsidR="008E6BF9">
        <w:rPr>
          <w:rFonts w:cstheme="minorHAnsi"/>
        </w:rPr>
        <w:t xml:space="preserve"> veškerou</w:t>
      </w:r>
      <w:r w:rsidR="00143DBB">
        <w:rPr>
          <w:rFonts w:cstheme="minorHAnsi"/>
        </w:rPr>
        <w:t xml:space="preserve"> níže uvedenou technickou specifikaci.</w:t>
      </w:r>
    </w:p>
    <w:p w14:paraId="41E767D8" w14:textId="4F655382" w:rsidR="00143DBB" w:rsidRDefault="008E6BF9" w:rsidP="00405C0C">
      <w:pPr>
        <w:tabs>
          <w:tab w:val="left" w:pos="3544"/>
        </w:tabs>
        <w:spacing w:before="120" w:after="120" w:line="264" w:lineRule="auto"/>
        <w:jc w:val="both"/>
        <w:rPr>
          <w:rFonts w:cstheme="minorHAnsi"/>
        </w:rPr>
      </w:pPr>
      <w:r>
        <w:rPr>
          <w:rFonts w:cstheme="minorHAnsi"/>
        </w:rPr>
        <w:t>Účastník výběrového řízení je povinen předložit k nabídce technické listy, prohlášení o shodě, certifikáty, prospekty apod. nabízeného předmětu plnění.</w:t>
      </w:r>
    </w:p>
    <w:p w14:paraId="47CB20A7" w14:textId="77777777" w:rsidR="00405C0C" w:rsidRPr="00D303F7" w:rsidRDefault="00405C0C" w:rsidP="00405C0C">
      <w:pPr>
        <w:tabs>
          <w:tab w:val="left" w:pos="3544"/>
        </w:tabs>
        <w:spacing w:before="120" w:after="120" w:line="264" w:lineRule="auto"/>
        <w:jc w:val="both"/>
        <w:rPr>
          <w:rFonts w:cstheme="minorHAnsi"/>
          <w:highlight w:val="yellow"/>
        </w:rPr>
      </w:pPr>
    </w:p>
    <w:p w14:paraId="2C7535D7" w14:textId="77777777" w:rsidR="007C0C40" w:rsidRPr="00D303F7" w:rsidRDefault="007C0C40" w:rsidP="007C0C40">
      <w:pPr>
        <w:jc w:val="both"/>
        <w:rPr>
          <w:rFonts w:cstheme="minorHAnsi"/>
          <w:u w:val="single"/>
        </w:rPr>
      </w:pPr>
      <w:r w:rsidRPr="00D303F7">
        <w:rPr>
          <w:rFonts w:cstheme="minorHAnsi"/>
          <w:u w:val="single"/>
        </w:rPr>
        <w:t>Předmětem plnění veřejné zakázky je konkrétně:</w:t>
      </w:r>
    </w:p>
    <w:tbl>
      <w:tblPr>
        <w:tblW w:w="3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5236"/>
        <w:gridCol w:w="1134"/>
      </w:tblGrid>
      <w:tr w:rsidR="007C0C40" w:rsidRPr="00D303F7" w14:paraId="5929D39E" w14:textId="77777777" w:rsidTr="00695378">
        <w:trPr>
          <w:trHeight w:val="615"/>
          <w:jc w:val="center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9F4A8E" w14:textId="77777777" w:rsidR="007C0C40" w:rsidRPr="00D303F7" w:rsidRDefault="007C0C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4FBEE13" w14:textId="1E10117A" w:rsidR="007C0C40" w:rsidRPr="00D303F7" w:rsidRDefault="00B13CC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Předmět plnění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  <w:hideMark/>
          </w:tcPr>
          <w:p w14:paraId="6FE90320" w14:textId="77777777" w:rsidR="007C0C40" w:rsidRPr="00D303F7" w:rsidRDefault="007C0C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D303F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kusů</w:t>
            </w:r>
          </w:p>
        </w:tc>
      </w:tr>
      <w:tr w:rsidR="007C0C40" w:rsidRPr="00D303F7" w14:paraId="28BF01DF" w14:textId="77777777" w:rsidTr="00695378">
        <w:trPr>
          <w:trHeight w:val="454"/>
          <w:jc w:val="center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2AF1" w14:textId="77777777" w:rsidR="007C0C40" w:rsidRPr="00D303F7" w:rsidRDefault="007C0C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303F7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3186" w14:textId="28F8FCC6" w:rsidR="007C0C40" w:rsidRPr="00D303F7" w:rsidRDefault="00BF182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Dopravní automobil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B095" w14:textId="77777777" w:rsidR="007C0C40" w:rsidRPr="00D303F7" w:rsidRDefault="007C0C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303F7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</w:tr>
    </w:tbl>
    <w:p w14:paraId="0961B700" w14:textId="77777777" w:rsidR="007C0C40" w:rsidRPr="00D303F7" w:rsidRDefault="007C0C40" w:rsidP="007C0C40">
      <w:pPr>
        <w:rPr>
          <w:rFonts w:cstheme="minorHAnsi"/>
        </w:rPr>
      </w:pPr>
    </w:p>
    <w:p w14:paraId="37041211" w14:textId="77777777" w:rsidR="00267065" w:rsidRDefault="00267065">
      <w:pPr>
        <w:rPr>
          <w:rFonts w:cstheme="minorHAnsi"/>
          <w:u w:val="single"/>
        </w:rPr>
      </w:pPr>
      <w:r>
        <w:rPr>
          <w:rFonts w:cstheme="minorHAnsi"/>
          <w:u w:val="single"/>
        </w:rPr>
        <w:br w:type="page"/>
      </w:r>
    </w:p>
    <w:p w14:paraId="59E9FE6A" w14:textId="0D3E2DD0" w:rsidR="004729B1" w:rsidRPr="004729B1" w:rsidRDefault="004729B1" w:rsidP="004729B1">
      <w:pPr>
        <w:spacing w:before="120" w:after="120" w:line="288" w:lineRule="auto"/>
        <w:jc w:val="center"/>
        <w:rPr>
          <w:rFonts w:cstheme="minorHAnsi"/>
          <w:u w:val="single"/>
        </w:rPr>
      </w:pPr>
      <w:r w:rsidRPr="004729B1">
        <w:rPr>
          <w:rFonts w:cstheme="minorHAnsi"/>
          <w:b/>
          <w:bCs/>
          <w:u w:val="single"/>
        </w:rPr>
        <w:lastRenderedPageBreak/>
        <w:t xml:space="preserve">Technické </w:t>
      </w:r>
      <w:r w:rsidR="00956751">
        <w:rPr>
          <w:rFonts w:cstheme="minorHAnsi"/>
          <w:b/>
          <w:bCs/>
          <w:u w:val="single"/>
        </w:rPr>
        <w:t>podmínky pro dopravní automobil</w:t>
      </w:r>
    </w:p>
    <w:p w14:paraId="5FE5C97D" w14:textId="77777777" w:rsidR="00956751" w:rsidRDefault="00956751" w:rsidP="00956751">
      <w:pPr>
        <w:spacing w:before="120" w:after="120" w:line="288" w:lineRule="auto"/>
        <w:jc w:val="both"/>
        <w:rPr>
          <w:rFonts w:cstheme="minorHAnsi"/>
          <w:highlight w:val="yellow"/>
        </w:rPr>
      </w:pPr>
    </w:p>
    <w:p w14:paraId="638B0E64" w14:textId="6E8C4633" w:rsidR="00700D6C" w:rsidRPr="005A5924" w:rsidRDefault="00700D6C" w:rsidP="005A5924">
      <w:pPr>
        <w:numPr>
          <w:ilvl w:val="0"/>
          <w:numId w:val="11"/>
        </w:numPr>
        <w:spacing w:before="120" w:after="0" w:line="240" w:lineRule="auto"/>
        <w:ind w:left="426" w:hanging="426"/>
        <w:jc w:val="both"/>
        <w:rPr>
          <w:rFonts w:eastAsia="Times New Roman" w:cstheme="minorHAnsi"/>
          <w:lang w:val="x-none" w:eastAsia="x-none"/>
        </w:rPr>
      </w:pPr>
      <w:r w:rsidRPr="00B36044">
        <w:rPr>
          <w:rFonts w:eastAsia="Times New Roman" w:cstheme="minorHAnsi"/>
          <w:lang w:val="x-none" w:eastAsia="x-none"/>
        </w:rPr>
        <w:t>Předmětem technických podmínek je pořízení nového dopravního automobilu v</w:t>
      </w:r>
      <w:r w:rsidRPr="00B36044">
        <w:rPr>
          <w:rFonts w:eastAsia="Times New Roman" w:cstheme="minorHAnsi"/>
          <w:lang w:eastAsia="x-none"/>
        </w:rPr>
        <w:t> </w:t>
      </w:r>
      <w:r w:rsidRPr="00B36044">
        <w:rPr>
          <w:rFonts w:eastAsia="Times New Roman" w:cstheme="minorHAnsi"/>
          <w:lang w:val="x-none" w:eastAsia="x-none"/>
        </w:rPr>
        <w:t>provedení „Z“ (základním), kategorie podvozku</w:t>
      </w:r>
      <w:r w:rsidR="005A5924">
        <w:rPr>
          <w:rFonts w:eastAsia="Times New Roman" w:cstheme="minorHAnsi"/>
          <w:lang w:val="x-none" w:eastAsia="x-none"/>
        </w:rPr>
        <w:t xml:space="preserve"> </w:t>
      </w:r>
      <w:r w:rsidRPr="005A5924">
        <w:rPr>
          <w:rFonts w:eastAsia="Times New Roman" w:cstheme="minorHAnsi"/>
          <w:lang w:val="x-none" w:eastAsia="x-none"/>
        </w:rPr>
        <w:t>1 „pro městský provoz“</w:t>
      </w:r>
      <w:r w:rsidR="005A5924">
        <w:rPr>
          <w:rFonts w:eastAsia="Times New Roman" w:cstheme="minorHAnsi"/>
          <w:lang w:val="x-none" w:eastAsia="x-none"/>
        </w:rPr>
        <w:t xml:space="preserve">, </w:t>
      </w:r>
      <w:r w:rsidRPr="005A5924">
        <w:rPr>
          <w:rFonts w:eastAsia="Times New Roman" w:cstheme="minorHAnsi"/>
          <w:lang w:val="x-none" w:eastAsia="x-none"/>
        </w:rPr>
        <w:t>s celkovou hmotností do 3</w:t>
      </w:r>
      <w:r w:rsidR="005A5924">
        <w:rPr>
          <w:rFonts w:eastAsia="Times New Roman" w:cstheme="minorHAnsi"/>
          <w:lang w:val="x-none" w:eastAsia="x-none"/>
        </w:rPr>
        <w:t xml:space="preserve"> </w:t>
      </w:r>
      <w:r w:rsidRPr="005A5924">
        <w:rPr>
          <w:rFonts w:eastAsia="Times New Roman" w:cstheme="minorHAnsi"/>
          <w:lang w:val="x-none" w:eastAsia="x-none"/>
        </w:rPr>
        <w:t>500 kg (dále jen „DA“)</w:t>
      </w:r>
      <w:r w:rsidRPr="005A5924">
        <w:rPr>
          <w:rFonts w:eastAsia="Times New Roman" w:cstheme="minorHAnsi"/>
          <w:lang w:eastAsia="x-none"/>
        </w:rPr>
        <w:t>.</w:t>
      </w:r>
    </w:p>
    <w:p w14:paraId="5E6026C7" w14:textId="77777777" w:rsidR="00700D6C" w:rsidRPr="00B36044" w:rsidRDefault="00700D6C" w:rsidP="00700D6C">
      <w:pPr>
        <w:pStyle w:val="Zkladntext"/>
        <w:numPr>
          <w:ilvl w:val="0"/>
          <w:numId w:val="11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0F5F">
        <w:rPr>
          <w:rFonts w:asciiTheme="minorHAnsi" w:hAnsiTheme="minorHAnsi" w:cstheme="minorHAnsi"/>
          <w:sz w:val="22"/>
          <w:szCs w:val="22"/>
        </w:rPr>
        <w:t>Pro výrobu DA se používá pouze nový, dosud nepoužitý automobilový podvozek, který není v době převzetí kupujícím starší 18 měsíců, a pro</w:t>
      </w:r>
      <w:r w:rsidRPr="00B36044">
        <w:rPr>
          <w:rFonts w:asciiTheme="minorHAnsi" w:hAnsiTheme="minorHAnsi" w:cstheme="minorHAnsi"/>
          <w:sz w:val="22"/>
          <w:szCs w:val="22"/>
        </w:rPr>
        <w:t xml:space="preserve"> účelovou nástavbu jsou použity pouze nové a originální součásti.</w:t>
      </w:r>
    </w:p>
    <w:p w14:paraId="29BC7BDB" w14:textId="77777777" w:rsidR="00700D6C" w:rsidRPr="00B36044" w:rsidRDefault="00700D6C" w:rsidP="00700D6C">
      <w:pPr>
        <w:numPr>
          <w:ilvl w:val="0"/>
          <w:numId w:val="11"/>
        </w:numPr>
        <w:tabs>
          <w:tab w:val="left" w:pos="426"/>
        </w:tabs>
        <w:spacing w:before="120" w:after="0" w:line="240" w:lineRule="auto"/>
        <w:ind w:left="426" w:hanging="426"/>
        <w:jc w:val="both"/>
        <w:rPr>
          <w:rFonts w:eastAsia="Times New Roman" w:cstheme="minorHAnsi"/>
          <w:lang w:val="x-none" w:eastAsia="x-none"/>
        </w:rPr>
      </w:pPr>
      <w:r w:rsidRPr="00B36044">
        <w:rPr>
          <w:rFonts w:eastAsia="Times New Roman" w:cstheme="minorHAnsi"/>
          <w:lang w:val="x-none" w:eastAsia="x-none"/>
        </w:rPr>
        <w:t xml:space="preserve">Všechny položky požárního příslušenství a všechna zařízení použita pro montáž do </w:t>
      </w:r>
      <w:r w:rsidRPr="00B36044">
        <w:rPr>
          <w:rFonts w:eastAsia="Times New Roman" w:cstheme="minorHAnsi"/>
          <w:lang w:eastAsia="x-none"/>
        </w:rPr>
        <w:t>DA</w:t>
      </w:r>
      <w:r w:rsidRPr="00B36044">
        <w:rPr>
          <w:rFonts w:eastAsia="Times New Roman" w:cstheme="minorHAnsi"/>
          <w:lang w:val="x-none" w:eastAsia="x-none"/>
        </w:rPr>
        <w:t xml:space="preserve"> splňují obecně stanovené bezpečnostní předpisy a jsou doložena návodem a příslušným dokladem (homologace, certifikát, prohlášení o shodě apod.).</w:t>
      </w:r>
    </w:p>
    <w:p w14:paraId="3EE8590D" w14:textId="77777777" w:rsidR="00700D6C" w:rsidRPr="00B36044" w:rsidRDefault="00700D6C" w:rsidP="00700D6C">
      <w:pPr>
        <w:pStyle w:val="Zkladntext"/>
        <w:numPr>
          <w:ilvl w:val="0"/>
          <w:numId w:val="11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DA splňuje technické podmínky stanovené:</w:t>
      </w:r>
    </w:p>
    <w:p w14:paraId="72AD0F0D" w14:textId="77777777" w:rsidR="00700D6C" w:rsidRPr="00B36044" w:rsidRDefault="00700D6C" w:rsidP="00700D6C">
      <w:pPr>
        <w:pStyle w:val="Default"/>
        <w:numPr>
          <w:ilvl w:val="2"/>
          <w:numId w:val="4"/>
        </w:numPr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6044">
        <w:rPr>
          <w:rFonts w:asciiTheme="minorHAnsi" w:hAnsiTheme="minorHAnsi" w:cstheme="minorHAnsi"/>
          <w:color w:val="auto"/>
          <w:sz w:val="22"/>
          <w:szCs w:val="22"/>
        </w:rPr>
        <w:t>předpisy pro provoz vozidel na pozemních komunikacích v ČR a veškeré povinné údaje k provedení a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B36044">
        <w:rPr>
          <w:rFonts w:asciiTheme="minorHAnsi" w:hAnsiTheme="minorHAnsi" w:cstheme="minorHAnsi"/>
          <w:color w:val="auto"/>
          <w:sz w:val="22"/>
          <w:szCs w:val="22"/>
        </w:rPr>
        <w:t>vybavení DA včetně výjimek,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37E69">
        <w:rPr>
          <w:rFonts w:asciiTheme="minorHAnsi" w:hAnsiTheme="minorHAnsi" w:cstheme="minorHAnsi"/>
          <w:color w:val="auto"/>
          <w:sz w:val="22"/>
          <w:szCs w:val="22"/>
        </w:rPr>
        <w:t>které jsou uvedeny v dokumentaci nezbytné pro registraci vozidla</w:t>
      </w:r>
      <w:r w:rsidRPr="00B36044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742762ED" w14:textId="77777777" w:rsidR="00700D6C" w:rsidRPr="00B36044" w:rsidRDefault="00700D6C" w:rsidP="00700D6C">
      <w:pPr>
        <w:pStyle w:val="Default"/>
        <w:numPr>
          <w:ilvl w:val="2"/>
          <w:numId w:val="4"/>
        </w:numPr>
        <w:tabs>
          <w:tab w:val="clear" w:pos="1080"/>
          <w:tab w:val="num" w:pos="720"/>
        </w:tabs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6044">
        <w:rPr>
          <w:rFonts w:asciiTheme="minorHAnsi" w:hAnsiTheme="minorHAnsi" w:cstheme="minorHAnsi"/>
          <w:color w:val="auto"/>
          <w:sz w:val="22"/>
          <w:szCs w:val="22"/>
        </w:rPr>
        <w:t>vyhláškou č. 35/2007 Sb., o technických podmínkách požární techniky, ve znění pozdějších předpisů,</w:t>
      </w:r>
    </w:p>
    <w:p w14:paraId="260B0C05" w14:textId="77777777" w:rsidR="00700D6C" w:rsidRPr="00B36044" w:rsidRDefault="00700D6C" w:rsidP="00700D6C">
      <w:pPr>
        <w:pStyle w:val="Default"/>
        <w:numPr>
          <w:ilvl w:val="2"/>
          <w:numId w:val="4"/>
        </w:numPr>
        <w:tabs>
          <w:tab w:val="clear" w:pos="1080"/>
          <w:tab w:val="num" w:pos="720"/>
        </w:tabs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6044">
        <w:rPr>
          <w:rFonts w:asciiTheme="minorHAnsi" w:hAnsiTheme="minorHAnsi" w:cstheme="minorHAnsi"/>
          <w:color w:val="auto"/>
          <w:sz w:val="22"/>
          <w:szCs w:val="22"/>
        </w:rPr>
        <w:t>vyhláškou č. 247/2001 Sb., o organizaci a činnosti jednotek požární ochrany ve znění pozdějších předpisů,</w:t>
      </w:r>
    </w:p>
    <w:p w14:paraId="10D8E147" w14:textId="77777777" w:rsidR="00700D6C" w:rsidRPr="00B36044" w:rsidRDefault="00700D6C" w:rsidP="00700D6C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6044">
        <w:rPr>
          <w:rFonts w:asciiTheme="minorHAnsi" w:hAnsiTheme="minorHAnsi" w:cstheme="minorHAnsi"/>
          <w:color w:val="auto"/>
          <w:sz w:val="22"/>
          <w:szCs w:val="22"/>
        </w:rPr>
        <w:t>a dále uvedené technické podmínky.</w:t>
      </w:r>
    </w:p>
    <w:p w14:paraId="6B4722E1" w14:textId="77777777" w:rsidR="00700D6C" w:rsidRPr="00B36044" w:rsidRDefault="00700D6C" w:rsidP="00700D6C">
      <w:pPr>
        <w:pStyle w:val="Zkladntext"/>
        <w:numPr>
          <w:ilvl w:val="0"/>
          <w:numId w:val="11"/>
        </w:numPr>
        <w:spacing w:before="120" w:after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6044">
        <w:rPr>
          <w:rFonts w:asciiTheme="minorHAnsi" w:hAnsiTheme="minorHAnsi" w:cstheme="minorHAnsi"/>
          <w:b/>
          <w:sz w:val="22"/>
          <w:szCs w:val="22"/>
        </w:rPr>
        <w:t>Kabina osádky DA</w:t>
      </w:r>
    </w:p>
    <w:p w14:paraId="6C6E14E0" w14:textId="1F7356F9" w:rsidR="00700D6C" w:rsidRPr="005A5924" w:rsidRDefault="00700D6C" w:rsidP="005A5924">
      <w:pPr>
        <w:pStyle w:val="Zkladntext"/>
        <w:numPr>
          <w:ilvl w:val="1"/>
          <w:numId w:val="3"/>
        </w:numPr>
        <w:spacing w:before="120" w:after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Kabinou osádky se rozumí prostor první řady sedadel, kterou tvoří</w:t>
      </w:r>
      <w:r w:rsidR="005A5924">
        <w:rPr>
          <w:rFonts w:asciiTheme="minorHAnsi" w:hAnsiTheme="minorHAnsi" w:cstheme="minorHAnsi"/>
          <w:sz w:val="22"/>
          <w:szCs w:val="22"/>
        </w:rPr>
        <w:t xml:space="preserve"> </w:t>
      </w:r>
      <w:r w:rsidRPr="005A5924">
        <w:rPr>
          <w:rFonts w:asciiTheme="minorHAnsi" w:hAnsiTheme="minorHAnsi" w:cstheme="minorHAnsi"/>
          <w:sz w:val="22"/>
          <w:szCs w:val="22"/>
        </w:rPr>
        <w:t>sedadla pro velitele, pro strojníka a pro jednoho hasiče,</w:t>
      </w:r>
      <w:r w:rsidR="005A5924">
        <w:rPr>
          <w:rFonts w:asciiTheme="minorHAnsi" w:hAnsiTheme="minorHAnsi" w:cstheme="minorHAnsi"/>
          <w:sz w:val="22"/>
          <w:szCs w:val="22"/>
        </w:rPr>
        <w:t xml:space="preserve"> </w:t>
      </w:r>
      <w:r w:rsidRPr="005A5924">
        <w:rPr>
          <w:rFonts w:asciiTheme="minorHAnsi" w:hAnsiTheme="minorHAnsi" w:cstheme="minorHAnsi"/>
          <w:sz w:val="22"/>
          <w:szCs w:val="22"/>
        </w:rPr>
        <w:t>druhé řady sedadel pro tři hasiče a třetí řady sedadel pro tři hasiče, nebo tři evakuované osoby při plnění úkolů na úseku ochrany obyvatelstva.</w:t>
      </w:r>
    </w:p>
    <w:p w14:paraId="7950F947" w14:textId="14AE8AF0" w:rsidR="00700D6C" w:rsidRPr="005A5924" w:rsidRDefault="00700D6C" w:rsidP="005A5924">
      <w:pPr>
        <w:pStyle w:val="Zkladntext"/>
        <w:numPr>
          <w:ilvl w:val="1"/>
          <w:numId w:val="3"/>
        </w:numPr>
        <w:spacing w:before="120" w:after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Sedadla jsou</w:t>
      </w:r>
      <w:r w:rsidR="005A5924">
        <w:rPr>
          <w:rFonts w:asciiTheme="minorHAnsi" w:hAnsiTheme="minorHAnsi" w:cstheme="minorHAnsi"/>
          <w:sz w:val="22"/>
          <w:szCs w:val="22"/>
        </w:rPr>
        <w:t xml:space="preserve"> </w:t>
      </w:r>
      <w:r w:rsidRPr="005A5924">
        <w:rPr>
          <w:rFonts w:asciiTheme="minorHAnsi" w:hAnsiTheme="minorHAnsi" w:cstheme="minorHAnsi"/>
          <w:sz w:val="22"/>
          <w:szCs w:val="22"/>
        </w:rPr>
        <w:t>orientována po směru jízdy.</w:t>
      </w:r>
    </w:p>
    <w:p w14:paraId="7EBFBFA5" w14:textId="109127D7" w:rsidR="00700D6C" w:rsidRPr="00CE4D1B" w:rsidRDefault="00700D6C" w:rsidP="00CE4D1B">
      <w:pPr>
        <w:pStyle w:val="Zkladntext"/>
        <w:numPr>
          <w:ilvl w:val="1"/>
          <w:numId w:val="3"/>
        </w:numPr>
        <w:spacing w:before="120" w:after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Kabina osádky je jednoprostorová, nedělená a je vybavena</w:t>
      </w:r>
      <w:r w:rsidR="00CE4D1B">
        <w:rPr>
          <w:rFonts w:asciiTheme="minorHAnsi" w:hAnsiTheme="minorHAnsi" w:cstheme="minorHAnsi"/>
          <w:sz w:val="22"/>
          <w:szCs w:val="22"/>
        </w:rPr>
        <w:t xml:space="preserve"> </w:t>
      </w:r>
      <w:r w:rsidRPr="00CE4D1B">
        <w:rPr>
          <w:rFonts w:asciiTheme="minorHAnsi" w:hAnsiTheme="minorHAnsi" w:cstheme="minorHAnsi"/>
          <w:sz w:val="22"/>
          <w:szCs w:val="22"/>
        </w:rPr>
        <w:t>třemi dveřmi, z nichž jedny jsou posuvné.</w:t>
      </w:r>
    </w:p>
    <w:p w14:paraId="1F2D61B0" w14:textId="240F403B" w:rsidR="00700D6C" w:rsidRPr="0065656F" w:rsidRDefault="00700D6C" w:rsidP="0065656F">
      <w:pPr>
        <w:pStyle w:val="Zkladntext"/>
        <w:numPr>
          <w:ilvl w:val="1"/>
          <w:numId w:val="3"/>
        </w:numPr>
        <w:spacing w:before="120" w:after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Kabina osádky je vybavena</w:t>
      </w:r>
      <w:r w:rsidR="0065656F">
        <w:rPr>
          <w:rFonts w:asciiTheme="minorHAnsi" w:hAnsiTheme="minorHAnsi" w:cstheme="minorHAnsi"/>
          <w:sz w:val="22"/>
          <w:szCs w:val="22"/>
        </w:rPr>
        <w:t xml:space="preserve"> </w:t>
      </w:r>
      <w:r w:rsidRPr="0065656F">
        <w:rPr>
          <w:rFonts w:asciiTheme="minorHAnsi" w:hAnsiTheme="minorHAnsi" w:cstheme="minorHAnsi"/>
          <w:sz w:val="22"/>
          <w:szCs w:val="22"/>
        </w:rPr>
        <w:t>analogovou radiostanicí kompatibilní s typem Motorola 2600 a příslušnou střešní anténou, které pro montáž dodá zadavatel.</w:t>
      </w:r>
    </w:p>
    <w:p w14:paraId="5F3B2592" w14:textId="44C2E0F1" w:rsidR="00700D6C" w:rsidRPr="0065656F" w:rsidRDefault="00700D6C" w:rsidP="0065656F">
      <w:pPr>
        <w:spacing w:after="0"/>
        <w:ind w:left="567"/>
        <w:jc w:val="both"/>
        <w:rPr>
          <w:rFonts w:eastAsia="Times New Roman" w:cstheme="minorHAnsi"/>
          <w:lang w:eastAsia="cs-CZ"/>
        </w:rPr>
      </w:pPr>
      <w:r w:rsidRPr="0065656F">
        <w:rPr>
          <w:rFonts w:eastAsia="Times New Roman" w:cstheme="minorHAnsi"/>
          <w:lang w:eastAsia="cs-CZ"/>
        </w:rPr>
        <w:t>Analogová radiostanice splňuje parametry dle bodu 4 Přílohy č. 1, vyhlášky č. 69/2014 Sb., o technických podmínkách věcných prostředků požární ochrany, včetně tlačítkového mikrofonu umožňujícího uživatelsky zadat jednu sekvenci selektivní volby.</w:t>
      </w:r>
    </w:p>
    <w:p w14:paraId="5FEEA5B9" w14:textId="5A750041" w:rsidR="00700D6C" w:rsidRPr="00C47629" w:rsidRDefault="00700D6C" w:rsidP="00C47629">
      <w:pPr>
        <w:pStyle w:val="Zkladntext"/>
        <w:numPr>
          <w:ilvl w:val="1"/>
          <w:numId w:val="3"/>
        </w:numPr>
        <w:spacing w:before="120" w:after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Kabina osádky je vybavena dvěma dobíjecími úchyty pro ruční svítilny kompatibilními s </w:t>
      </w:r>
      <w:r w:rsidRPr="00C47629">
        <w:rPr>
          <w:rFonts w:asciiTheme="minorHAnsi" w:hAnsiTheme="minorHAnsi" w:cstheme="minorHAnsi"/>
          <w:sz w:val="22"/>
          <w:szCs w:val="22"/>
        </w:rPr>
        <w:t>typem SURVIVOR LED</w:t>
      </w:r>
      <w:r w:rsidRPr="00B36044">
        <w:rPr>
          <w:rFonts w:asciiTheme="minorHAnsi" w:hAnsiTheme="minorHAnsi" w:cstheme="minorHAnsi"/>
          <w:sz w:val="22"/>
          <w:szCs w:val="22"/>
        </w:rPr>
        <w:t xml:space="preserve">, </w:t>
      </w:r>
      <w:r w:rsidR="0065656F">
        <w:rPr>
          <w:rFonts w:asciiTheme="minorHAnsi" w:hAnsiTheme="minorHAnsi" w:cstheme="minorHAnsi"/>
          <w:sz w:val="22"/>
          <w:szCs w:val="22"/>
        </w:rPr>
        <w:t xml:space="preserve">výrobce </w:t>
      </w:r>
      <w:proofErr w:type="spellStart"/>
      <w:r w:rsidR="0065656F">
        <w:rPr>
          <w:rFonts w:asciiTheme="minorHAnsi" w:hAnsiTheme="minorHAnsi" w:cstheme="minorHAnsi"/>
          <w:sz w:val="22"/>
          <w:szCs w:val="22"/>
        </w:rPr>
        <w:t>Streamlight</w:t>
      </w:r>
      <w:proofErr w:type="spellEnd"/>
      <w:r w:rsidR="0065656F">
        <w:rPr>
          <w:rFonts w:asciiTheme="minorHAnsi" w:hAnsiTheme="minorHAnsi" w:cstheme="minorHAnsi"/>
          <w:sz w:val="22"/>
          <w:szCs w:val="22"/>
        </w:rPr>
        <w:t xml:space="preserve"> (tento typ zaveden u JPO)</w:t>
      </w:r>
      <w:r w:rsidR="00C47629">
        <w:rPr>
          <w:rFonts w:asciiTheme="minorHAnsi" w:hAnsiTheme="minorHAnsi" w:cstheme="minorHAnsi"/>
          <w:sz w:val="22"/>
          <w:szCs w:val="22"/>
        </w:rPr>
        <w:t xml:space="preserve">, </w:t>
      </w:r>
      <w:r w:rsidRPr="00B36044">
        <w:rPr>
          <w:rFonts w:asciiTheme="minorHAnsi" w:hAnsiTheme="minorHAnsi" w:cstheme="minorHAnsi"/>
          <w:sz w:val="22"/>
          <w:szCs w:val="22"/>
        </w:rPr>
        <w:t>úchyty pro montáž</w:t>
      </w:r>
      <w:r w:rsidR="00C47629">
        <w:rPr>
          <w:rFonts w:asciiTheme="minorHAnsi" w:hAnsiTheme="minorHAnsi" w:cstheme="minorHAnsi"/>
          <w:sz w:val="22"/>
          <w:szCs w:val="22"/>
        </w:rPr>
        <w:t xml:space="preserve"> </w:t>
      </w:r>
      <w:r w:rsidRPr="00C47629">
        <w:rPr>
          <w:rFonts w:asciiTheme="minorHAnsi" w:hAnsiTheme="minorHAnsi" w:cstheme="minorHAnsi"/>
          <w:sz w:val="22"/>
          <w:szCs w:val="22"/>
        </w:rPr>
        <w:t>dodá výrobce DA (dodavatel).</w:t>
      </w:r>
    </w:p>
    <w:p w14:paraId="258C51A1" w14:textId="3C88CB30" w:rsidR="00700D6C" w:rsidRPr="00C47629" w:rsidRDefault="00700D6C" w:rsidP="00C47629">
      <w:pPr>
        <w:pStyle w:val="Zkladntext"/>
        <w:numPr>
          <w:ilvl w:val="1"/>
          <w:numId w:val="3"/>
        </w:numPr>
        <w:spacing w:before="120" w:after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Kabina osádky je vybavena</w:t>
      </w:r>
      <w:r w:rsidR="00C47629">
        <w:rPr>
          <w:rFonts w:asciiTheme="minorHAnsi" w:hAnsiTheme="minorHAnsi" w:cstheme="minorHAnsi"/>
          <w:sz w:val="22"/>
          <w:szCs w:val="22"/>
        </w:rPr>
        <w:t xml:space="preserve"> </w:t>
      </w:r>
      <w:r w:rsidRPr="00C47629">
        <w:rPr>
          <w:rFonts w:asciiTheme="minorHAnsi" w:hAnsiTheme="minorHAnsi" w:cstheme="minorHAnsi"/>
          <w:sz w:val="22"/>
          <w:szCs w:val="22"/>
        </w:rPr>
        <w:t>topením nezávislým na chodu motoru a jízdě o tepelném výkonu nejméně 4 kW.</w:t>
      </w:r>
    </w:p>
    <w:p w14:paraId="56474F6C" w14:textId="77777777" w:rsidR="00C47629" w:rsidRDefault="00700D6C" w:rsidP="00C47629">
      <w:pPr>
        <w:pStyle w:val="Zkladntext"/>
        <w:numPr>
          <w:ilvl w:val="1"/>
          <w:numId w:val="3"/>
        </w:numPr>
        <w:spacing w:before="120" w:after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47629">
        <w:rPr>
          <w:rFonts w:asciiTheme="minorHAnsi" w:hAnsiTheme="minorHAnsi" w:cstheme="minorHAnsi"/>
          <w:sz w:val="22"/>
          <w:szCs w:val="22"/>
        </w:rPr>
        <w:t>DA je vybaven nejméně airbagem řidiče a spolujezdce.</w:t>
      </w:r>
    </w:p>
    <w:p w14:paraId="728C4200" w14:textId="6957543B" w:rsidR="00700D6C" w:rsidRPr="00C47629" w:rsidRDefault="00700D6C" w:rsidP="00C47629">
      <w:pPr>
        <w:pStyle w:val="Zkladntext"/>
        <w:numPr>
          <w:ilvl w:val="1"/>
          <w:numId w:val="3"/>
        </w:numPr>
        <w:spacing w:before="120" w:after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47629">
        <w:rPr>
          <w:rFonts w:asciiTheme="minorHAnsi" w:hAnsiTheme="minorHAnsi" w:cstheme="minorHAnsi"/>
          <w:sz w:val="22"/>
          <w:szCs w:val="22"/>
        </w:rPr>
        <w:t>Kabina osádky je dále vybavena:</w:t>
      </w:r>
    </w:p>
    <w:p w14:paraId="09CCF569" w14:textId="77777777" w:rsidR="00700D6C" w:rsidRPr="00C47629" w:rsidRDefault="00700D6C" w:rsidP="00700D6C">
      <w:pPr>
        <w:pStyle w:val="Default"/>
        <w:numPr>
          <w:ilvl w:val="0"/>
          <w:numId w:val="26"/>
        </w:numPr>
        <w:ind w:left="851" w:hanging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</w:pPr>
      <w:r w:rsidRPr="00C47629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>autorádiem s handsfree Bluetooth,</w:t>
      </w:r>
    </w:p>
    <w:p w14:paraId="16EF76EB" w14:textId="77777777" w:rsidR="00700D6C" w:rsidRPr="00C47629" w:rsidRDefault="00700D6C" w:rsidP="00700D6C">
      <w:pPr>
        <w:pStyle w:val="Default"/>
        <w:numPr>
          <w:ilvl w:val="0"/>
          <w:numId w:val="26"/>
        </w:numPr>
        <w:ind w:left="851" w:hanging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</w:pPr>
      <w:r w:rsidRPr="00C47629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>v dosahu sedadla spolujezdce (velitele) dvěma samostatnými automobilovými zásuvkami s napětím 12 V a elektrickým proudem každé nejméně 8 A trvale napojenými na zdroj a dvěma zásuvkami USB s elektrickým proudem každé nejméně 2 A trvale napojenými na zdroj pro případné napojení nabíjecích prvků mobilních telefonů,</w:t>
      </w:r>
    </w:p>
    <w:p w14:paraId="34EDF7D0" w14:textId="107C9899" w:rsidR="00700D6C" w:rsidRPr="00C47629" w:rsidRDefault="00700D6C" w:rsidP="00C47629">
      <w:pPr>
        <w:pStyle w:val="Default"/>
        <w:numPr>
          <w:ilvl w:val="0"/>
          <w:numId w:val="26"/>
        </w:numPr>
        <w:ind w:left="851" w:hanging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</w:pPr>
      <w:r w:rsidRPr="00C47629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lastRenderedPageBreak/>
        <w:t>kamerou pro sledování provozu před DA, včetně držáku, paměťové karty a napájecí zásuvky napojené na zdroj po otočení klíčku zapalování do první polohy. Záznam kamery je aktivován přivedením napájecího napětí a deaktivován jeho odpojením. Kameru pro montáž</w:t>
      </w:r>
      <w:r w:rsidR="00C47629" w:rsidRPr="00C47629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 xml:space="preserve"> </w:t>
      </w:r>
      <w:r w:rsidRPr="00C47629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>poskytne zadavatel.</w:t>
      </w:r>
    </w:p>
    <w:p w14:paraId="7FB2FED6" w14:textId="03D2D9C1" w:rsidR="00700D6C" w:rsidRPr="00C47629" w:rsidRDefault="00700D6C" w:rsidP="00C47629">
      <w:pPr>
        <w:pStyle w:val="Default"/>
        <w:numPr>
          <w:ilvl w:val="0"/>
          <w:numId w:val="26"/>
        </w:numPr>
        <w:ind w:left="851" w:hanging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</w:pPr>
      <w:r w:rsidRPr="00C47629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>v dosahu sedadla velitele dobíjecím úchytem tabletu pro tablet SAMSUNG GALAXY</w:t>
      </w:r>
      <w:r w:rsidR="007067D5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>.</w:t>
      </w:r>
      <w:r w:rsidRPr="00C47629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 xml:space="preserve"> Pro napájení tabletu je použito samostatně jištěné (</w:t>
      </w:r>
      <w:proofErr w:type="gramStart"/>
      <w:r w:rsidRPr="00C47629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>5A</w:t>
      </w:r>
      <w:proofErr w:type="gramEnd"/>
      <w:r w:rsidRPr="00C47629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>) přípojné místo. Tablet pro montáž</w:t>
      </w:r>
      <w:r w:rsidR="00C47629" w:rsidRPr="00C47629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 xml:space="preserve"> </w:t>
      </w:r>
      <w:r w:rsidRPr="00C47629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>poskytne zadavatel.</w:t>
      </w:r>
    </w:p>
    <w:p w14:paraId="10E76091" w14:textId="77777777" w:rsidR="00700D6C" w:rsidRPr="00B36044" w:rsidRDefault="00700D6C" w:rsidP="00700D6C">
      <w:pPr>
        <w:pStyle w:val="Zkladntext"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6044">
        <w:rPr>
          <w:rFonts w:asciiTheme="minorHAnsi" w:hAnsiTheme="minorHAnsi" w:cstheme="minorHAnsi"/>
          <w:b/>
          <w:sz w:val="22"/>
          <w:szCs w:val="22"/>
        </w:rPr>
        <w:t>Podvozek DA</w:t>
      </w:r>
    </w:p>
    <w:p w14:paraId="489B950D" w14:textId="0017D249" w:rsidR="00700D6C" w:rsidRPr="00BA1821" w:rsidRDefault="00700D6C" w:rsidP="00BA1821">
      <w:pPr>
        <w:pStyle w:val="Zkladntext"/>
        <w:numPr>
          <w:ilvl w:val="1"/>
          <w:numId w:val="5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DA je konstruován v hmotnostní třídě L. Největší technicky přípustná hmotnost DA je nejvíce 3</w:t>
      </w:r>
      <w:r w:rsidR="00A423AC">
        <w:rPr>
          <w:rFonts w:asciiTheme="minorHAnsi" w:hAnsiTheme="minorHAnsi" w:cstheme="minorHAnsi"/>
          <w:sz w:val="22"/>
          <w:szCs w:val="22"/>
        </w:rPr>
        <w:t> </w:t>
      </w:r>
      <w:r w:rsidRPr="00B36044">
        <w:rPr>
          <w:rFonts w:asciiTheme="minorHAnsi" w:hAnsiTheme="minorHAnsi" w:cstheme="minorHAnsi"/>
          <w:sz w:val="22"/>
          <w:szCs w:val="22"/>
        </w:rPr>
        <w:t>500 kg.</w:t>
      </w:r>
    </w:p>
    <w:p w14:paraId="13B1DE6E" w14:textId="6F3BB344" w:rsidR="00700D6C" w:rsidRPr="00BA1821" w:rsidRDefault="00700D6C" w:rsidP="00700D6C">
      <w:pPr>
        <w:pStyle w:val="Zkladntext"/>
        <w:numPr>
          <w:ilvl w:val="1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A1821">
        <w:rPr>
          <w:rFonts w:asciiTheme="minorHAnsi" w:hAnsiTheme="minorHAnsi" w:cstheme="minorHAnsi"/>
          <w:sz w:val="22"/>
          <w:szCs w:val="22"/>
        </w:rPr>
        <w:t>Délka DA (včetně tažného zařízení) je s ohledem na prostorové podmínky hasičské zbrojnice nejvíce 5</w:t>
      </w:r>
      <w:r w:rsidR="00BA1821" w:rsidRPr="00BA1821">
        <w:rPr>
          <w:rFonts w:asciiTheme="minorHAnsi" w:hAnsiTheme="minorHAnsi" w:cstheme="minorHAnsi"/>
          <w:sz w:val="22"/>
          <w:szCs w:val="22"/>
        </w:rPr>
        <w:t> </w:t>
      </w:r>
      <w:r w:rsidRPr="00BA1821">
        <w:rPr>
          <w:rFonts w:asciiTheme="minorHAnsi" w:hAnsiTheme="minorHAnsi" w:cstheme="minorHAnsi"/>
          <w:sz w:val="22"/>
          <w:szCs w:val="22"/>
        </w:rPr>
        <w:t>900 mm.</w:t>
      </w:r>
    </w:p>
    <w:p w14:paraId="29AED91C" w14:textId="7EE6C401" w:rsidR="00700D6C" w:rsidRPr="00BA1821" w:rsidRDefault="00700D6C" w:rsidP="00700D6C">
      <w:pPr>
        <w:pStyle w:val="Zkladntext"/>
        <w:numPr>
          <w:ilvl w:val="1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A1821">
        <w:rPr>
          <w:rFonts w:asciiTheme="minorHAnsi" w:hAnsiTheme="minorHAnsi" w:cstheme="minorHAnsi"/>
          <w:sz w:val="22"/>
          <w:szCs w:val="22"/>
        </w:rPr>
        <w:t>Výška vnitřního prostoru DA je nejméně 1</w:t>
      </w:r>
      <w:r w:rsidR="00BA1821" w:rsidRPr="00BA1821">
        <w:rPr>
          <w:rFonts w:asciiTheme="minorHAnsi" w:hAnsiTheme="minorHAnsi" w:cstheme="minorHAnsi"/>
          <w:sz w:val="22"/>
          <w:szCs w:val="22"/>
        </w:rPr>
        <w:t xml:space="preserve"> </w:t>
      </w:r>
      <w:r w:rsidRPr="00BA1821">
        <w:rPr>
          <w:rFonts w:asciiTheme="minorHAnsi" w:hAnsiTheme="minorHAnsi" w:cstheme="minorHAnsi"/>
          <w:sz w:val="22"/>
          <w:szCs w:val="22"/>
        </w:rPr>
        <w:t>800 mm (měřeno od podlahy po obložení stropu DA).</w:t>
      </w:r>
    </w:p>
    <w:p w14:paraId="33CBD506" w14:textId="271406FE" w:rsidR="00700D6C" w:rsidRPr="00B36044" w:rsidRDefault="00700D6C" w:rsidP="00700D6C">
      <w:pPr>
        <w:pStyle w:val="Zkladntext"/>
        <w:numPr>
          <w:ilvl w:val="1"/>
          <w:numId w:val="5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S ohledem na provoz DA v kopcovité krajině je pro DA použit automobilový podvozek se jmenovitým měrným výkonem nejméně 25 kW na 1</w:t>
      </w:r>
      <w:r w:rsidR="00BA1821">
        <w:rPr>
          <w:rFonts w:asciiTheme="minorHAnsi" w:hAnsiTheme="minorHAnsi" w:cstheme="minorHAnsi"/>
          <w:sz w:val="22"/>
          <w:szCs w:val="22"/>
        </w:rPr>
        <w:t xml:space="preserve"> </w:t>
      </w:r>
      <w:r w:rsidRPr="00B36044">
        <w:rPr>
          <w:rFonts w:asciiTheme="minorHAnsi" w:hAnsiTheme="minorHAnsi" w:cstheme="minorHAnsi"/>
          <w:sz w:val="22"/>
          <w:szCs w:val="22"/>
        </w:rPr>
        <w:t>000 kg největší technicky přípustné hmotnosti DA.</w:t>
      </w:r>
    </w:p>
    <w:p w14:paraId="15A2A9D1" w14:textId="77777777" w:rsidR="00BA1821" w:rsidRPr="00BA1821" w:rsidRDefault="00700D6C" w:rsidP="00BA1821">
      <w:pPr>
        <w:pStyle w:val="Zkladntext"/>
        <w:numPr>
          <w:ilvl w:val="1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A1821">
        <w:rPr>
          <w:rFonts w:asciiTheme="minorHAnsi" w:hAnsiTheme="minorHAnsi" w:cstheme="minorHAnsi"/>
          <w:sz w:val="22"/>
          <w:szCs w:val="22"/>
        </w:rPr>
        <w:t>DA je konstruován s uspořádáním náprav 4 x 2.</w:t>
      </w:r>
    </w:p>
    <w:p w14:paraId="36A89C1C" w14:textId="3B7BC0DD" w:rsidR="00700D6C" w:rsidRPr="00BA1821" w:rsidRDefault="00700D6C" w:rsidP="00BA1821">
      <w:pPr>
        <w:pStyle w:val="Zkladntext"/>
        <w:numPr>
          <w:ilvl w:val="1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A1821">
        <w:rPr>
          <w:rFonts w:asciiTheme="minorHAnsi" w:hAnsiTheme="minorHAnsi" w:cstheme="minorHAnsi"/>
          <w:sz w:val="22"/>
          <w:szCs w:val="22"/>
        </w:rPr>
        <w:t>DA je vybaven zařízením proti blokování provozních brzd typu ABS nebo obdobným zařízením.</w:t>
      </w:r>
    </w:p>
    <w:p w14:paraId="7D79A7BF" w14:textId="77777777" w:rsidR="00700D6C" w:rsidRPr="00BA1821" w:rsidRDefault="00700D6C" w:rsidP="00BA1821">
      <w:pPr>
        <w:pStyle w:val="Zkladntext"/>
        <w:numPr>
          <w:ilvl w:val="1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A1821">
        <w:rPr>
          <w:rFonts w:asciiTheme="minorHAnsi" w:hAnsiTheme="minorHAnsi" w:cstheme="minorHAnsi"/>
          <w:sz w:val="22"/>
          <w:szCs w:val="22"/>
        </w:rPr>
        <w:t>Obě nápravy jsou osazeny koly vybavenými pneumatikami konstruovanými pro provoz na sněhu a ledu s označením 3PMSF („alpský štít“).</w:t>
      </w:r>
    </w:p>
    <w:p w14:paraId="238C98F8" w14:textId="6BBBF960" w:rsidR="00700D6C" w:rsidRPr="00BA1821" w:rsidRDefault="00700D6C" w:rsidP="00BA1821">
      <w:pPr>
        <w:pStyle w:val="Zkladntext"/>
        <w:numPr>
          <w:ilvl w:val="1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A1821">
        <w:rPr>
          <w:rFonts w:asciiTheme="minorHAnsi" w:hAnsiTheme="minorHAnsi" w:cstheme="minorHAnsi"/>
          <w:b/>
          <w:bCs/>
          <w:sz w:val="22"/>
          <w:szCs w:val="22"/>
        </w:rPr>
        <w:t>Součástí dodávky je náhradní kolo s pneumatikou</w:t>
      </w:r>
      <w:r w:rsidRPr="00B36044">
        <w:rPr>
          <w:rFonts w:asciiTheme="minorHAnsi" w:hAnsiTheme="minorHAnsi" w:cstheme="minorHAnsi"/>
          <w:sz w:val="22"/>
          <w:szCs w:val="22"/>
        </w:rPr>
        <w:t xml:space="preserve">, které je dodáno </w:t>
      </w:r>
      <w:r w:rsidRPr="00BA1821">
        <w:rPr>
          <w:rFonts w:asciiTheme="minorHAnsi" w:hAnsiTheme="minorHAnsi" w:cstheme="minorHAnsi"/>
          <w:sz w:val="22"/>
          <w:szCs w:val="22"/>
        </w:rPr>
        <w:t>v originálním držáku.</w:t>
      </w:r>
      <w:r w:rsidR="00BA1821">
        <w:rPr>
          <w:rFonts w:asciiTheme="minorHAnsi" w:hAnsiTheme="minorHAnsi" w:cstheme="minorHAnsi"/>
          <w:sz w:val="22"/>
          <w:szCs w:val="22"/>
        </w:rPr>
        <w:t xml:space="preserve"> </w:t>
      </w:r>
      <w:r w:rsidRPr="00BA1821">
        <w:rPr>
          <w:rFonts w:asciiTheme="minorHAnsi" w:hAnsiTheme="minorHAnsi" w:cstheme="minorHAnsi"/>
          <w:sz w:val="22"/>
          <w:szCs w:val="22"/>
        </w:rPr>
        <w:t>DA je vybaven veškerým příslušenstvím potřebným pro výměnu kola a další povinnou výbavou motorových a přípojných vozidel stanovenou právním předpisem.</w:t>
      </w:r>
    </w:p>
    <w:p w14:paraId="353AFC57" w14:textId="18760FD9" w:rsidR="00700D6C" w:rsidRPr="005D3109" w:rsidRDefault="00700D6C" w:rsidP="005D3109">
      <w:pPr>
        <w:pStyle w:val="Zkladntext"/>
        <w:numPr>
          <w:ilvl w:val="1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 xml:space="preserve">DA je v prostoru místa nástupu strojníka (řidiče) do DA vybaven zásuvkou pro dobíjení a konzervaci akumulátorových baterií </w:t>
      </w:r>
      <w:r w:rsidRPr="005D3109">
        <w:rPr>
          <w:rFonts w:asciiTheme="minorHAnsi" w:hAnsiTheme="minorHAnsi" w:cstheme="minorHAnsi"/>
          <w:sz w:val="22"/>
          <w:szCs w:val="22"/>
        </w:rPr>
        <w:t xml:space="preserve">s napětím shodným v DA typu </w:t>
      </w:r>
      <w:proofErr w:type="spellStart"/>
      <w:r w:rsidRPr="005D3109">
        <w:rPr>
          <w:rFonts w:asciiTheme="minorHAnsi" w:hAnsiTheme="minorHAnsi" w:cstheme="minorHAnsi"/>
          <w:sz w:val="22"/>
          <w:szCs w:val="22"/>
        </w:rPr>
        <w:t>V</w:t>
      </w:r>
      <w:r w:rsidR="005D3109" w:rsidRPr="005D3109">
        <w:rPr>
          <w:rFonts w:asciiTheme="minorHAnsi" w:hAnsiTheme="minorHAnsi" w:cstheme="minorHAnsi"/>
          <w:sz w:val="22"/>
          <w:szCs w:val="22"/>
        </w:rPr>
        <w:t>ictron</w:t>
      </w:r>
      <w:proofErr w:type="spellEnd"/>
      <w:r w:rsidR="005D3109" w:rsidRPr="005D31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3109" w:rsidRPr="005D3109">
        <w:rPr>
          <w:rFonts w:asciiTheme="minorHAnsi" w:hAnsiTheme="minorHAnsi" w:cstheme="minorHAnsi"/>
          <w:sz w:val="22"/>
          <w:szCs w:val="22"/>
        </w:rPr>
        <w:t>Energy</w:t>
      </w:r>
      <w:proofErr w:type="spellEnd"/>
      <w:r w:rsidRPr="005D310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D3109">
        <w:rPr>
          <w:rFonts w:asciiTheme="minorHAnsi" w:hAnsiTheme="minorHAnsi" w:cstheme="minorHAnsi"/>
          <w:sz w:val="22"/>
          <w:szCs w:val="22"/>
        </w:rPr>
        <w:t>P</w:t>
      </w:r>
      <w:r w:rsidR="005D3109" w:rsidRPr="005D3109">
        <w:rPr>
          <w:rFonts w:asciiTheme="minorHAnsi" w:hAnsiTheme="minorHAnsi" w:cstheme="minorHAnsi"/>
          <w:sz w:val="22"/>
          <w:szCs w:val="22"/>
        </w:rPr>
        <w:t>owerClip</w:t>
      </w:r>
      <w:proofErr w:type="spellEnd"/>
      <w:r w:rsidR="005D3109" w:rsidRPr="005D31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3109" w:rsidRPr="005D3109">
        <w:rPr>
          <w:rFonts w:asciiTheme="minorHAnsi" w:hAnsiTheme="minorHAnsi" w:cstheme="minorHAnsi"/>
          <w:sz w:val="22"/>
          <w:szCs w:val="22"/>
        </w:rPr>
        <w:t>MagCode</w:t>
      </w:r>
      <w:proofErr w:type="spellEnd"/>
      <w:r w:rsidR="005D3109" w:rsidRPr="005D3109">
        <w:rPr>
          <w:rFonts w:asciiTheme="minorHAnsi" w:hAnsiTheme="minorHAnsi" w:cstheme="minorHAnsi"/>
          <w:sz w:val="22"/>
          <w:szCs w:val="22"/>
        </w:rPr>
        <w:t xml:space="preserve"> (tento typ zaveden u JPO). </w:t>
      </w:r>
      <w:r w:rsidRPr="005D3109">
        <w:rPr>
          <w:rFonts w:asciiTheme="minorHAnsi" w:hAnsiTheme="minorHAnsi" w:cstheme="minorHAnsi"/>
          <w:sz w:val="22"/>
          <w:szCs w:val="22"/>
        </w:rPr>
        <w:t xml:space="preserve">Součástí dodávky je příslušný protikus. </w:t>
      </w:r>
    </w:p>
    <w:p w14:paraId="32EF66E7" w14:textId="77777777" w:rsidR="00700D6C" w:rsidRPr="00B36044" w:rsidRDefault="00700D6C" w:rsidP="00700D6C">
      <w:pPr>
        <w:pStyle w:val="Zkladntext"/>
        <w:numPr>
          <w:ilvl w:val="1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DA je vybaven dvěma zásuvkami pro připojení požárních světlometů 12 V. Zásuvky umístěné vně karoserie mají krytí nejméně IP 54.</w:t>
      </w:r>
    </w:p>
    <w:p w14:paraId="254B88D5" w14:textId="77777777" w:rsidR="00700D6C" w:rsidRPr="00B36044" w:rsidRDefault="00700D6C" w:rsidP="00700D6C">
      <w:pPr>
        <w:pStyle w:val="Zkladntext"/>
        <w:numPr>
          <w:ilvl w:val="1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Osvětlení prostoru okolo DA je zajištěno LED zdroji neoslňujícího bílého světla umístěnými vně na bocích a zadní straně DA.</w:t>
      </w:r>
    </w:p>
    <w:p w14:paraId="5DCD0FD8" w14:textId="77777777" w:rsidR="00700D6C" w:rsidRPr="00B36044" w:rsidRDefault="00700D6C" w:rsidP="00700D6C">
      <w:pPr>
        <w:pStyle w:val="Zkladntext"/>
        <w:numPr>
          <w:ilvl w:val="1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DA je v zadní části vybaven LED světelným zařízením v provedení „alej“ vyzařujícím světlo oranžové barvy a tvořeným nejméně 5 svítilnami (každá s nejméně 3 diodami). Světelné zařízení umožňuje pracovat nejméně ve 3 režimech – směrování vlevo, výstražný mód a směrování vpravo. Ovládací prvky a signalizace činnosti jsou umístěny v dosahu sedadla řidiče. Zapojení světelného zařízení znemožňuje jeho užití za jízdy DA.</w:t>
      </w:r>
    </w:p>
    <w:p w14:paraId="1EBDF8C6" w14:textId="7A662849" w:rsidR="00700D6C" w:rsidRPr="00564B53" w:rsidRDefault="00700D6C" w:rsidP="00564B53">
      <w:pPr>
        <w:pStyle w:val="Zkladntext"/>
        <w:numPr>
          <w:ilvl w:val="1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30F5F">
        <w:rPr>
          <w:rFonts w:asciiTheme="minorHAnsi" w:hAnsiTheme="minorHAnsi" w:cstheme="minorHAnsi"/>
          <w:sz w:val="22"/>
          <w:szCs w:val="22"/>
        </w:rPr>
        <w:t xml:space="preserve">DA je vybaven </w:t>
      </w:r>
      <w:r w:rsidRPr="00564B53">
        <w:rPr>
          <w:rFonts w:asciiTheme="minorHAnsi" w:hAnsiTheme="minorHAnsi" w:cstheme="minorHAnsi"/>
          <w:sz w:val="22"/>
          <w:szCs w:val="22"/>
        </w:rPr>
        <w:t>tažným zařízením typu ISO-50X</w:t>
      </w:r>
      <w:r w:rsidR="00564B53">
        <w:rPr>
          <w:rFonts w:asciiTheme="minorHAnsi" w:hAnsiTheme="minorHAnsi" w:cstheme="minorHAnsi"/>
          <w:sz w:val="22"/>
          <w:szCs w:val="22"/>
        </w:rPr>
        <w:t xml:space="preserve"> </w:t>
      </w:r>
      <w:r w:rsidRPr="00564B53">
        <w:rPr>
          <w:rFonts w:asciiTheme="minorHAnsi" w:hAnsiTheme="minorHAnsi" w:cstheme="minorHAnsi"/>
          <w:sz w:val="22"/>
          <w:szCs w:val="22"/>
        </w:rPr>
        <w:t>pro připojení požárního přívěsu kategorie O2 o celkové hmotnosti nejméně 2</w:t>
      </w:r>
      <w:r w:rsidR="00564B53">
        <w:rPr>
          <w:rFonts w:asciiTheme="minorHAnsi" w:hAnsiTheme="minorHAnsi" w:cstheme="minorHAnsi"/>
          <w:sz w:val="22"/>
          <w:szCs w:val="22"/>
        </w:rPr>
        <w:t xml:space="preserve"> </w:t>
      </w:r>
      <w:r w:rsidRPr="00564B53">
        <w:rPr>
          <w:rFonts w:asciiTheme="minorHAnsi" w:hAnsiTheme="minorHAnsi" w:cstheme="minorHAnsi"/>
          <w:sz w:val="22"/>
          <w:szCs w:val="22"/>
        </w:rPr>
        <w:t>000 kg. Součástí dodávky je redukce 13/7 pin.</w:t>
      </w:r>
    </w:p>
    <w:p w14:paraId="78FD7E85" w14:textId="7A75A7A1" w:rsidR="00700D6C" w:rsidRPr="00564B53" w:rsidRDefault="00700D6C" w:rsidP="00700D6C">
      <w:pPr>
        <w:pStyle w:val="Zkladntext"/>
        <w:numPr>
          <w:ilvl w:val="1"/>
          <w:numId w:val="5"/>
        </w:numPr>
        <w:spacing w:after="0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DA je dále vybaven:</w:t>
      </w:r>
    </w:p>
    <w:p w14:paraId="2FEBB62B" w14:textId="77777777" w:rsidR="00700D6C" w:rsidRPr="00564B53" w:rsidRDefault="00700D6C" w:rsidP="00700D6C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851" w:hanging="284"/>
        <w:jc w:val="both"/>
        <w:rPr>
          <w:rFonts w:eastAsia="Times New Roman" w:cstheme="minorHAnsi"/>
          <w:bCs/>
          <w:lang w:eastAsia="cs-CZ"/>
        </w:rPr>
      </w:pPr>
      <w:r w:rsidRPr="00564B53">
        <w:rPr>
          <w:rFonts w:eastAsia="Times New Roman" w:cstheme="minorHAnsi"/>
          <w:bCs/>
          <w:lang w:eastAsia="cs-CZ"/>
        </w:rPr>
        <w:t>centrálním zamykáním s dálkovým ovládáním,</w:t>
      </w:r>
    </w:p>
    <w:p w14:paraId="00B86139" w14:textId="77777777" w:rsidR="00700D6C" w:rsidRPr="00564B53" w:rsidRDefault="00700D6C" w:rsidP="00700D6C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851" w:hanging="284"/>
        <w:jc w:val="both"/>
        <w:rPr>
          <w:rFonts w:eastAsia="Times New Roman" w:cstheme="minorHAnsi"/>
          <w:bCs/>
          <w:lang w:eastAsia="cs-CZ"/>
        </w:rPr>
      </w:pPr>
      <w:r w:rsidRPr="00564B53">
        <w:rPr>
          <w:rFonts w:eastAsia="Times New Roman" w:cstheme="minorHAnsi"/>
          <w:bCs/>
          <w:lang w:eastAsia="cs-CZ"/>
        </w:rPr>
        <w:t>předními elektricky ovládanými okny,</w:t>
      </w:r>
    </w:p>
    <w:p w14:paraId="3C7673C4" w14:textId="77777777" w:rsidR="00700D6C" w:rsidRPr="00564B53" w:rsidRDefault="00700D6C" w:rsidP="00700D6C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851" w:hanging="284"/>
        <w:jc w:val="both"/>
        <w:rPr>
          <w:rFonts w:eastAsia="Times New Roman" w:cstheme="minorHAnsi"/>
          <w:bCs/>
          <w:lang w:eastAsia="cs-CZ"/>
        </w:rPr>
      </w:pPr>
      <w:r w:rsidRPr="00564B53">
        <w:rPr>
          <w:rFonts w:eastAsia="Times New Roman" w:cstheme="minorHAnsi"/>
          <w:bCs/>
          <w:lang w:eastAsia="cs-CZ"/>
        </w:rPr>
        <w:t>posuvnými okny v prostoru druhé řady sedadel,</w:t>
      </w:r>
    </w:p>
    <w:p w14:paraId="2743F88D" w14:textId="77777777" w:rsidR="00700D6C" w:rsidRPr="00564B53" w:rsidRDefault="00700D6C" w:rsidP="00700D6C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851" w:hanging="284"/>
        <w:jc w:val="both"/>
        <w:rPr>
          <w:rFonts w:eastAsia="Times New Roman" w:cstheme="minorHAnsi"/>
          <w:bCs/>
          <w:lang w:eastAsia="cs-CZ"/>
        </w:rPr>
      </w:pPr>
      <w:r w:rsidRPr="00564B53">
        <w:rPr>
          <w:rFonts w:eastAsia="Times New Roman" w:cstheme="minorHAnsi"/>
          <w:bCs/>
          <w:lang w:eastAsia="cs-CZ"/>
        </w:rPr>
        <w:t>elektricky ovládaná a vyhřívaná vnější zpětná zrcátka,</w:t>
      </w:r>
    </w:p>
    <w:p w14:paraId="75A31010" w14:textId="77777777" w:rsidR="00700D6C" w:rsidRPr="00564B53" w:rsidRDefault="00700D6C" w:rsidP="00700D6C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851" w:hanging="284"/>
        <w:jc w:val="both"/>
        <w:rPr>
          <w:rFonts w:eastAsia="Times New Roman" w:cstheme="minorHAnsi"/>
          <w:bCs/>
          <w:lang w:eastAsia="cs-CZ"/>
        </w:rPr>
      </w:pPr>
      <w:r w:rsidRPr="00564B53">
        <w:rPr>
          <w:rFonts w:eastAsia="Times New Roman" w:cstheme="minorHAnsi"/>
          <w:bCs/>
          <w:lang w:eastAsia="cs-CZ"/>
        </w:rPr>
        <w:t>předními lapači nečistot,</w:t>
      </w:r>
    </w:p>
    <w:p w14:paraId="0BAC23A9" w14:textId="77777777" w:rsidR="00700D6C" w:rsidRPr="00564B53" w:rsidRDefault="00700D6C" w:rsidP="00700D6C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851" w:hanging="284"/>
        <w:jc w:val="both"/>
        <w:rPr>
          <w:rFonts w:eastAsia="Times New Roman" w:cstheme="minorHAnsi"/>
          <w:bCs/>
          <w:lang w:eastAsia="cs-CZ"/>
        </w:rPr>
      </w:pPr>
      <w:r w:rsidRPr="00564B53">
        <w:rPr>
          <w:rFonts w:eastAsia="Times New Roman" w:cstheme="minorHAnsi"/>
          <w:bCs/>
          <w:lang w:eastAsia="cs-CZ"/>
        </w:rPr>
        <w:t>zadními lapači nečistot,</w:t>
      </w:r>
    </w:p>
    <w:p w14:paraId="65E0C8F5" w14:textId="77777777" w:rsidR="00700D6C" w:rsidRPr="00564B53" w:rsidRDefault="00700D6C" w:rsidP="00700D6C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851" w:hanging="284"/>
        <w:jc w:val="both"/>
        <w:rPr>
          <w:rFonts w:eastAsia="Times New Roman" w:cstheme="minorHAnsi"/>
          <w:bCs/>
          <w:lang w:eastAsia="cs-CZ"/>
        </w:rPr>
      </w:pPr>
      <w:r w:rsidRPr="00564B53">
        <w:rPr>
          <w:rFonts w:eastAsia="Times New Roman" w:cstheme="minorHAnsi"/>
          <w:bCs/>
          <w:lang w:eastAsia="cs-CZ"/>
        </w:rPr>
        <w:t>LED světlomety pro denní svícení,</w:t>
      </w:r>
    </w:p>
    <w:p w14:paraId="7B8A528A" w14:textId="77777777" w:rsidR="00700D6C" w:rsidRPr="00564B53" w:rsidRDefault="00700D6C" w:rsidP="00700D6C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851" w:hanging="284"/>
        <w:jc w:val="both"/>
        <w:rPr>
          <w:rFonts w:eastAsia="Times New Roman" w:cstheme="minorHAnsi"/>
          <w:bCs/>
          <w:lang w:eastAsia="cs-CZ"/>
        </w:rPr>
      </w:pPr>
      <w:r w:rsidRPr="00564B53">
        <w:rPr>
          <w:rFonts w:eastAsia="Times New Roman" w:cstheme="minorHAnsi"/>
          <w:bCs/>
          <w:lang w:eastAsia="cs-CZ"/>
        </w:rPr>
        <w:lastRenderedPageBreak/>
        <w:t>parkovacími senzory vzadu,</w:t>
      </w:r>
    </w:p>
    <w:p w14:paraId="048D7BC9" w14:textId="77777777" w:rsidR="00700D6C" w:rsidRPr="00564B53" w:rsidRDefault="00700D6C" w:rsidP="00700D6C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851" w:hanging="284"/>
        <w:jc w:val="both"/>
        <w:rPr>
          <w:rFonts w:eastAsia="Times New Roman" w:cstheme="minorHAnsi"/>
          <w:bCs/>
          <w:lang w:eastAsia="cs-CZ"/>
        </w:rPr>
      </w:pPr>
      <w:r w:rsidRPr="00564B53">
        <w:rPr>
          <w:rFonts w:eastAsia="Times New Roman" w:cstheme="minorHAnsi"/>
          <w:bCs/>
          <w:lang w:eastAsia="cs-CZ"/>
        </w:rPr>
        <w:t>parkovacími senzory vpředu,</w:t>
      </w:r>
    </w:p>
    <w:p w14:paraId="42D2870A" w14:textId="77777777" w:rsidR="00700D6C" w:rsidRPr="00564B53" w:rsidRDefault="00700D6C" w:rsidP="00700D6C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851" w:hanging="284"/>
        <w:jc w:val="both"/>
        <w:rPr>
          <w:rFonts w:eastAsia="Times New Roman" w:cstheme="minorHAnsi"/>
          <w:bCs/>
          <w:lang w:eastAsia="cs-CZ"/>
        </w:rPr>
      </w:pPr>
      <w:r w:rsidRPr="00564B53">
        <w:rPr>
          <w:rFonts w:eastAsia="Times New Roman" w:cstheme="minorHAnsi"/>
          <w:bCs/>
          <w:lang w:eastAsia="cs-CZ"/>
        </w:rPr>
        <w:t>couvací kamerou,</w:t>
      </w:r>
    </w:p>
    <w:p w14:paraId="21936D3E" w14:textId="77777777" w:rsidR="00700D6C" w:rsidRPr="00564B53" w:rsidRDefault="00700D6C" w:rsidP="00700D6C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851" w:hanging="284"/>
        <w:jc w:val="both"/>
        <w:rPr>
          <w:rFonts w:eastAsia="Times New Roman" w:cstheme="minorHAnsi"/>
          <w:bCs/>
          <w:lang w:eastAsia="cs-CZ"/>
        </w:rPr>
      </w:pPr>
      <w:r w:rsidRPr="00564B53">
        <w:rPr>
          <w:rFonts w:eastAsia="Times New Roman" w:cstheme="minorHAnsi"/>
          <w:bCs/>
          <w:lang w:eastAsia="cs-CZ"/>
        </w:rPr>
        <w:t>gumovými koberci na podlaze,</w:t>
      </w:r>
    </w:p>
    <w:p w14:paraId="2FD29880" w14:textId="77777777" w:rsidR="00700D6C" w:rsidRPr="00564B53" w:rsidRDefault="00700D6C" w:rsidP="00700D6C">
      <w:pPr>
        <w:numPr>
          <w:ilvl w:val="1"/>
          <w:numId w:val="28"/>
        </w:numPr>
        <w:tabs>
          <w:tab w:val="left" w:pos="426"/>
        </w:tabs>
        <w:spacing w:after="120" w:line="240" w:lineRule="auto"/>
        <w:ind w:left="851" w:hanging="284"/>
        <w:jc w:val="both"/>
        <w:rPr>
          <w:rFonts w:eastAsia="Times New Roman" w:cstheme="minorHAnsi"/>
          <w:bCs/>
          <w:lang w:eastAsia="cs-CZ"/>
        </w:rPr>
      </w:pPr>
      <w:r w:rsidRPr="00564B53">
        <w:rPr>
          <w:rFonts w:cstheme="minorHAnsi"/>
          <w:bCs/>
          <w:lang w:eastAsia="cs-CZ"/>
        </w:rPr>
        <w:t>ochranným krytem pod motorem.</w:t>
      </w:r>
    </w:p>
    <w:p w14:paraId="3D312A16" w14:textId="77777777" w:rsidR="00700D6C" w:rsidRPr="00B36044" w:rsidRDefault="00700D6C" w:rsidP="00700D6C">
      <w:pPr>
        <w:pStyle w:val="Zkladntex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6044">
        <w:rPr>
          <w:rFonts w:asciiTheme="minorHAnsi" w:hAnsiTheme="minorHAnsi" w:cstheme="minorHAnsi"/>
          <w:b/>
          <w:sz w:val="22"/>
          <w:szCs w:val="22"/>
        </w:rPr>
        <w:t>Zavazadlový prostor DA</w:t>
      </w:r>
    </w:p>
    <w:p w14:paraId="222861B0" w14:textId="77777777" w:rsidR="00700D6C" w:rsidRPr="00B36044" w:rsidRDefault="00700D6C" w:rsidP="00700D6C">
      <w:pPr>
        <w:pStyle w:val="Zkladntext"/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Zavazadlový prostor DA je přístupný dveřmi na zadní straně karosérie a při uložení předepsaného rozsahu požárního příslušenství:</w:t>
      </w:r>
    </w:p>
    <w:p w14:paraId="023872A9" w14:textId="77777777" w:rsidR="00700D6C" w:rsidRPr="00B36044" w:rsidRDefault="00700D6C" w:rsidP="00700D6C">
      <w:pPr>
        <w:pStyle w:val="Zkladntext"/>
        <w:numPr>
          <w:ilvl w:val="0"/>
          <w:numId w:val="21"/>
        </w:numPr>
        <w:spacing w:after="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umožňuje uložení zavazadel v počtu shodném s počtem sedadel s velikostí každého nejméně 120 l a hmotností nejméně 30 kg,</w:t>
      </w:r>
    </w:p>
    <w:p w14:paraId="4A936914" w14:textId="5BCB062A" w:rsidR="00700D6C" w:rsidRPr="00B36044" w:rsidRDefault="00700D6C" w:rsidP="00700D6C">
      <w:pPr>
        <w:numPr>
          <w:ilvl w:val="0"/>
          <w:numId w:val="21"/>
        </w:numPr>
        <w:spacing w:after="120" w:line="240" w:lineRule="auto"/>
        <w:ind w:left="851" w:hanging="284"/>
        <w:jc w:val="both"/>
        <w:rPr>
          <w:rFonts w:cstheme="minorHAnsi"/>
        </w:rPr>
      </w:pPr>
      <w:r w:rsidRPr="00B36044">
        <w:rPr>
          <w:rFonts w:cstheme="minorHAnsi"/>
        </w:rPr>
        <w:t>má využitelné rozměry nejméně 1</w:t>
      </w:r>
      <w:r w:rsidR="00D24BF6">
        <w:rPr>
          <w:rFonts w:cstheme="minorHAnsi"/>
        </w:rPr>
        <w:t xml:space="preserve"> </w:t>
      </w:r>
      <w:r w:rsidRPr="00B36044">
        <w:rPr>
          <w:rFonts w:cstheme="minorHAnsi"/>
        </w:rPr>
        <w:t xml:space="preserve">000 x 700 mm ve výšce 900 mm od podlahy. Nejmenší rozměr musí být dodržen v celé výšce od podlahy, tedy od 0 až do 900 mm.  </w:t>
      </w:r>
    </w:p>
    <w:p w14:paraId="237B8B2B" w14:textId="23FFB50D" w:rsidR="00700D6C" w:rsidRPr="00D24BF6" w:rsidRDefault="00700D6C" w:rsidP="00D24BF6">
      <w:pPr>
        <w:spacing w:after="120" w:line="240" w:lineRule="auto"/>
        <w:ind w:left="567"/>
        <w:jc w:val="both"/>
        <w:rPr>
          <w:rFonts w:cstheme="minorHAnsi"/>
        </w:rPr>
      </w:pPr>
      <w:r w:rsidRPr="00B36044">
        <w:rPr>
          <w:rFonts w:cstheme="minorHAnsi"/>
        </w:rPr>
        <w:t>V zavazadlovém prostoru jsou nejméně čtyři kotvící body s tažnou silou každého nejméně 3 </w:t>
      </w:r>
      <w:proofErr w:type="spellStart"/>
      <w:r w:rsidRPr="00B36044">
        <w:rPr>
          <w:rFonts w:cstheme="minorHAnsi"/>
        </w:rPr>
        <w:t>kN</w:t>
      </w:r>
      <w:proofErr w:type="spellEnd"/>
      <w:r w:rsidRPr="00B36044">
        <w:rPr>
          <w:rFonts w:cstheme="minorHAnsi"/>
        </w:rPr>
        <w:t>.</w:t>
      </w:r>
    </w:p>
    <w:p w14:paraId="104A4E71" w14:textId="691AE78F" w:rsidR="00700D6C" w:rsidRPr="00D24BF6" w:rsidRDefault="00700D6C" w:rsidP="00D24BF6">
      <w:pPr>
        <w:pStyle w:val="Zkladntex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DA není vybaven zabudovaným zařízením prvotního zásahu,</w:t>
      </w:r>
      <w:r w:rsidRPr="00B36044">
        <w:rPr>
          <w:rFonts w:asciiTheme="minorHAnsi" w:hAnsiTheme="minorHAnsi" w:cstheme="minorHAnsi"/>
          <w:bCs/>
          <w:sz w:val="22"/>
          <w:szCs w:val="22"/>
        </w:rPr>
        <w:t xml:space="preserve"> motorovou stříkačkou ani požárním čerpadlem.</w:t>
      </w:r>
    </w:p>
    <w:p w14:paraId="0DAFEC8B" w14:textId="77777777" w:rsidR="00700D6C" w:rsidRPr="00B36044" w:rsidRDefault="00700D6C" w:rsidP="00700D6C">
      <w:pPr>
        <w:pStyle w:val="Zkladntex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Úchytné a úložné prvky v prostorech pro uložení požárního příslušenství jsou provedeny z lehkého kovu nebo jiného materiálu, s vysokou životností.</w:t>
      </w:r>
    </w:p>
    <w:p w14:paraId="31123968" w14:textId="77777777" w:rsidR="00700D6C" w:rsidRPr="00B36044" w:rsidRDefault="00700D6C" w:rsidP="00700D6C">
      <w:pPr>
        <w:pStyle w:val="Zkladntext"/>
        <w:numPr>
          <w:ilvl w:val="0"/>
          <w:numId w:val="7"/>
        </w:numPr>
        <w:spacing w:before="12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6044">
        <w:rPr>
          <w:rFonts w:asciiTheme="minorHAnsi" w:hAnsiTheme="minorHAnsi" w:cstheme="minorHAnsi"/>
          <w:b/>
          <w:sz w:val="22"/>
          <w:szCs w:val="22"/>
        </w:rPr>
        <w:t>Barevná úprava, značení, nápisy</w:t>
      </w:r>
    </w:p>
    <w:p w14:paraId="411AE4DE" w14:textId="2F5553D9" w:rsidR="00700D6C" w:rsidRPr="005B7DBF" w:rsidRDefault="00700D6C" w:rsidP="005B7DBF">
      <w:pPr>
        <w:pStyle w:val="Zkladntext"/>
        <w:numPr>
          <w:ilvl w:val="1"/>
          <w:numId w:val="8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 xml:space="preserve">Pro barevnou úpravu DA je použita bílá barva odstínu RAL 9003 podle vzorníku RAL 841 GL nebo obdobná barva (celková barevná definice </w:t>
      </w:r>
      <w:proofErr w:type="spellStart"/>
      <w:r w:rsidRPr="00B36044">
        <w:rPr>
          <w:rFonts w:asciiTheme="minorHAnsi" w:hAnsiTheme="minorHAnsi" w:cstheme="minorHAnsi"/>
          <w:sz w:val="22"/>
          <w:szCs w:val="22"/>
        </w:rPr>
        <w:t>δE</w:t>
      </w:r>
      <w:proofErr w:type="spellEnd"/>
      <w:r w:rsidRPr="00B36044">
        <w:rPr>
          <w:rFonts w:asciiTheme="minorHAnsi" w:hAnsiTheme="minorHAnsi" w:cstheme="minorHAnsi"/>
          <w:sz w:val="22"/>
          <w:szCs w:val="22"/>
        </w:rPr>
        <w:t xml:space="preserve"> ≤ 3 od etalonu) a červená barva</w:t>
      </w:r>
      <w:r w:rsidR="005B7DBF">
        <w:rPr>
          <w:rFonts w:asciiTheme="minorHAnsi" w:hAnsiTheme="minorHAnsi" w:cstheme="minorHAnsi"/>
          <w:sz w:val="22"/>
          <w:szCs w:val="22"/>
        </w:rPr>
        <w:t xml:space="preserve"> </w:t>
      </w:r>
      <w:r w:rsidRPr="005B7DBF">
        <w:rPr>
          <w:rFonts w:asciiTheme="minorHAnsi" w:hAnsiTheme="minorHAnsi" w:cstheme="minorHAnsi"/>
          <w:sz w:val="22"/>
          <w:szCs w:val="22"/>
        </w:rPr>
        <w:t>RAL 3020</w:t>
      </w:r>
      <w:r w:rsidR="005B7DBF">
        <w:rPr>
          <w:rFonts w:asciiTheme="minorHAnsi" w:hAnsiTheme="minorHAnsi" w:cstheme="minorHAnsi"/>
          <w:sz w:val="22"/>
          <w:szCs w:val="22"/>
        </w:rPr>
        <w:t xml:space="preserve"> </w:t>
      </w:r>
      <w:r w:rsidRPr="005B7DBF">
        <w:rPr>
          <w:rFonts w:asciiTheme="minorHAnsi" w:hAnsiTheme="minorHAnsi" w:cstheme="minorHAnsi"/>
          <w:sz w:val="22"/>
          <w:szCs w:val="22"/>
        </w:rPr>
        <w:t xml:space="preserve">podle vzorníku RAL 841 GL nebo obdobná barva (celková barevná definice </w:t>
      </w:r>
      <w:proofErr w:type="spellStart"/>
      <w:r w:rsidRPr="005B7DBF">
        <w:rPr>
          <w:rFonts w:asciiTheme="minorHAnsi" w:hAnsiTheme="minorHAnsi" w:cstheme="minorHAnsi"/>
          <w:sz w:val="22"/>
          <w:szCs w:val="22"/>
        </w:rPr>
        <w:t>δE</w:t>
      </w:r>
      <w:proofErr w:type="spellEnd"/>
      <w:r w:rsidRPr="005B7DBF">
        <w:rPr>
          <w:rFonts w:asciiTheme="minorHAnsi" w:hAnsiTheme="minorHAnsi" w:cstheme="minorHAnsi"/>
          <w:sz w:val="22"/>
          <w:szCs w:val="22"/>
        </w:rPr>
        <w:t> ≤ 3 od etalonu).</w:t>
      </w:r>
      <w:r w:rsidR="005B7DBF">
        <w:rPr>
          <w:rFonts w:asciiTheme="minorHAnsi" w:hAnsiTheme="minorHAnsi" w:cstheme="minorHAnsi"/>
          <w:sz w:val="22"/>
          <w:szCs w:val="22"/>
        </w:rPr>
        <w:t xml:space="preserve"> </w:t>
      </w:r>
      <w:r w:rsidRPr="005B7DBF">
        <w:rPr>
          <w:rFonts w:asciiTheme="minorHAnsi" w:hAnsiTheme="minorHAnsi" w:cstheme="minorHAnsi"/>
          <w:sz w:val="22"/>
          <w:szCs w:val="22"/>
        </w:rPr>
        <w:t xml:space="preserve">Bílý vodorovný </w:t>
      </w:r>
      <w:proofErr w:type="spellStart"/>
      <w:r w:rsidRPr="005B7DBF">
        <w:rPr>
          <w:rFonts w:asciiTheme="minorHAnsi" w:hAnsiTheme="minorHAnsi" w:cstheme="minorHAnsi"/>
          <w:sz w:val="22"/>
          <w:szCs w:val="22"/>
        </w:rPr>
        <w:t>retroreflexní</w:t>
      </w:r>
      <w:proofErr w:type="spellEnd"/>
      <w:r w:rsidRPr="005B7DBF">
        <w:rPr>
          <w:rFonts w:asciiTheme="minorHAnsi" w:hAnsiTheme="minorHAnsi" w:cstheme="minorHAnsi"/>
          <w:sz w:val="22"/>
          <w:szCs w:val="22"/>
        </w:rPr>
        <w:t xml:space="preserve"> pruh je umístěn po obou stranách karoserie DA v celé její délce.</w:t>
      </w:r>
    </w:p>
    <w:p w14:paraId="3FCAE586" w14:textId="77777777" w:rsidR="00700D6C" w:rsidRDefault="00700D6C" w:rsidP="00700D6C">
      <w:pPr>
        <w:pStyle w:val="Zkladntext"/>
        <w:numPr>
          <w:ilvl w:val="1"/>
          <w:numId w:val="8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Na obou bočních stranách karosérie je v celé délce bílého zvýrazňujícího pruhu umístěno liniové značení v barvě žluté. Výška bílého zvýrazňujícího pruhu je nejméně 200 mm a nejvíce 350 mm, včetně výšky liniového značení.</w:t>
      </w:r>
    </w:p>
    <w:p w14:paraId="65D42D74" w14:textId="098E72F0" w:rsidR="00700D6C" w:rsidRPr="00B65FF7" w:rsidRDefault="00700D6C" w:rsidP="005B7DBF">
      <w:pPr>
        <w:pStyle w:val="Odstavecseseznamem"/>
        <w:numPr>
          <w:ilvl w:val="1"/>
          <w:numId w:val="8"/>
        </w:numPr>
        <w:spacing w:after="200" w:line="276" w:lineRule="auto"/>
        <w:ind w:left="567" w:hanging="567"/>
        <w:jc w:val="both"/>
        <w:rPr>
          <w:rFonts w:eastAsia="Times New Roman" w:cstheme="minorHAnsi"/>
          <w:lang w:val="x-none" w:eastAsia="x-none"/>
        </w:rPr>
      </w:pPr>
      <w:r w:rsidRPr="00B65FF7">
        <w:rPr>
          <w:rFonts w:eastAsia="Times New Roman" w:cstheme="minorHAnsi"/>
          <w:lang w:val="x-none" w:eastAsia="x-none"/>
        </w:rPr>
        <w:t xml:space="preserve">Na zadní části </w:t>
      </w:r>
      <w:r>
        <w:rPr>
          <w:rFonts w:eastAsia="Times New Roman" w:cstheme="minorHAnsi"/>
          <w:lang w:eastAsia="x-none"/>
        </w:rPr>
        <w:t>DA</w:t>
      </w:r>
      <w:r w:rsidRPr="00B65FF7">
        <w:rPr>
          <w:rFonts w:eastAsia="Times New Roman" w:cstheme="minorHAnsi"/>
          <w:lang w:val="x-none" w:eastAsia="x-none"/>
        </w:rPr>
        <w:t xml:space="preserve"> jsou umístěny šikmé </w:t>
      </w:r>
      <w:proofErr w:type="spellStart"/>
      <w:r w:rsidRPr="00B65FF7">
        <w:rPr>
          <w:rFonts w:eastAsia="Times New Roman" w:cstheme="minorHAnsi"/>
          <w:lang w:val="x-none" w:eastAsia="x-none"/>
        </w:rPr>
        <w:t>retroreflexní</w:t>
      </w:r>
      <w:proofErr w:type="spellEnd"/>
      <w:r w:rsidRPr="00B65FF7">
        <w:rPr>
          <w:rFonts w:eastAsia="Times New Roman" w:cstheme="minorHAnsi"/>
          <w:lang w:val="x-none" w:eastAsia="x-none"/>
        </w:rPr>
        <w:t xml:space="preserve"> pruhy (šrafování) ve tvaru převráceného</w:t>
      </w:r>
      <w:r w:rsidR="005B7DBF">
        <w:rPr>
          <w:rFonts w:eastAsia="Times New Roman" w:cstheme="minorHAnsi"/>
          <w:lang w:val="x-none" w:eastAsia="x-none"/>
        </w:rPr>
        <w:t xml:space="preserve"> </w:t>
      </w:r>
      <w:r w:rsidRPr="00B65FF7">
        <w:rPr>
          <w:rFonts w:eastAsia="Times New Roman" w:cstheme="minorHAnsi"/>
          <w:lang w:val="x-none" w:eastAsia="x-none"/>
        </w:rPr>
        <w:t>písmene „V“ žlutozelené barvy odstínu RAL 1026 podle vzorníku RAL 841 GL nebo obdobná</w:t>
      </w:r>
      <w:r w:rsidR="005B7DBF">
        <w:rPr>
          <w:rFonts w:eastAsia="Times New Roman" w:cstheme="minorHAnsi"/>
          <w:lang w:val="x-none" w:eastAsia="x-none"/>
        </w:rPr>
        <w:t xml:space="preserve"> </w:t>
      </w:r>
      <w:r w:rsidRPr="00B65FF7">
        <w:rPr>
          <w:rFonts w:eastAsia="Times New Roman" w:cstheme="minorHAnsi"/>
          <w:lang w:val="x-none" w:eastAsia="x-none"/>
        </w:rPr>
        <w:t xml:space="preserve">barva (celková barevná definice </w:t>
      </w:r>
      <w:proofErr w:type="spellStart"/>
      <w:r w:rsidRPr="00B65FF7">
        <w:rPr>
          <w:rFonts w:eastAsia="Times New Roman" w:cstheme="minorHAnsi"/>
          <w:lang w:val="x-none" w:eastAsia="x-none"/>
        </w:rPr>
        <w:t>δE</w:t>
      </w:r>
      <w:proofErr w:type="spellEnd"/>
      <w:r w:rsidRPr="00B65FF7">
        <w:rPr>
          <w:rFonts w:eastAsia="Times New Roman" w:cstheme="minorHAnsi"/>
          <w:lang w:val="x-none" w:eastAsia="x-none"/>
        </w:rPr>
        <w:t xml:space="preserve"> ≤ 3 od etalonu). Šíře každého šikmého pruhu a vzdálenost</w:t>
      </w:r>
      <w:r w:rsidR="005B7DBF">
        <w:rPr>
          <w:rFonts w:eastAsia="Times New Roman" w:cstheme="minorHAnsi"/>
          <w:lang w:val="x-none" w:eastAsia="x-none"/>
        </w:rPr>
        <w:t xml:space="preserve"> </w:t>
      </w:r>
      <w:r w:rsidRPr="00B65FF7">
        <w:rPr>
          <w:rFonts w:eastAsia="Times New Roman" w:cstheme="minorHAnsi"/>
          <w:lang w:val="x-none" w:eastAsia="x-none"/>
        </w:rPr>
        <w:t>mezi nimi je 150 mm. Sklon pruhu je 45°.</w:t>
      </w:r>
    </w:p>
    <w:p w14:paraId="17E0AAF0" w14:textId="3C5AAA4B" w:rsidR="00700D6C" w:rsidRPr="00B36044" w:rsidRDefault="00700D6C" w:rsidP="00700D6C">
      <w:pPr>
        <w:pStyle w:val="Zkladntext"/>
        <w:numPr>
          <w:ilvl w:val="1"/>
          <w:numId w:val="8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 xml:space="preserve">V bílém zvýrazňujícím vodorovném pruhu na obou předních dveřích kabiny osádky je umístěn nápis s označením dislokace jednotky. V prvním řádku je text „SBOR DOBROVOLNÝCH HASIČŮ“, ve druhém řádku je uveden název </w:t>
      </w:r>
      <w:r w:rsidRPr="005B7DBF">
        <w:rPr>
          <w:rFonts w:asciiTheme="minorHAnsi" w:hAnsiTheme="minorHAnsi" w:cstheme="minorHAnsi"/>
          <w:sz w:val="22"/>
          <w:szCs w:val="22"/>
        </w:rPr>
        <w:t>obce „H</w:t>
      </w:r>
      <w:r w:rsidR="005B7DBF" w:rsidRPr="005B7DBF">
        <w:rPr>
          <w:rFonts w:asciiTheme="minorHAnsi" w:hAnsiTheme="minorHAnsi" w:cstheme="minorHAnsi"/>
          <w:sz w:val="22"/>
          <w:szCs w:val="22"/>
        </w:rPr>
        <w:t>OROSEDLY</w:t>
      </w:r>
      <w:r w:rsidRPr="005B7DBF">
        <w:rPr>
          <w:rFonts w:asciiTheme="minorHAnsi" w:hAnsiTheme="minorHAnsi" w:cstheme="minorHAnsi"/>
          <w:sz w:val="22"/>
          <w:szCs w:val="22"/>
        </w:rPr>
        <w:t>“.</w:t>
      </w:r>
    </w:p>
    <w:p w14:paraId="210A6CF7" w14:textId="77777777" w:rsidR="00700D6C" w:rsidRPr="00B36044" w:rsidRDefault="00700D6C" w:rsidP="00700D6C">
      <w:pPr>
        <w:pStyle w:val="Zkladntext"/>
        <w:numPr>
          <w:ilvl w:val="1"/>
          <w:numId w:val="8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Na přední části karosérie kabiny osádky je umístěn nápis „HASIČI“ o výšce písma 100 až 200 mm.</w:t>
      </w:r>
    </w:p>
    <w:p w14:paraId="280306EA" w14:textId="77777777" w:rsidR="00700D6C" w:rsidRPr="00B65FF7" w:rsidRDefault="00700D6C" w:rsidP="00700D6C">
      <w:pPr>
        <w:pStyle w:val="Zkladntext"/>
        <w:numPr>
          <w:ilvl w:val="1"/>
          <w:numId w:val="8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Veškeré nápisy jsou provedeny kolmým bezpatkovým písmem, písmeny velké abecedy.</w:t>
      </w:r>
    </w:p>
    <w:p w14:paraId="172D07EA" w14:textId="77777777" w:rsidR="00700D6C" w:rsidRPr="00B36044" w:rsidRDefault="00700D6C" w:rsidP="00700D6C">
      <w:pPr>
        <w:pStyle w:val="Zkladntex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6044">
        <w:rPr>
          <w:rFonts w:asciiTheme="minorHAnsi" w:hAnsiTheme="minorHAnsi" w:cstheme="minorHAnsi"/>
          <w:b/>
          <w:sz w:val="22"/>
          <w:szCs w:val="22"/>
        </w:rPr>
        <w:t>Zvláštní výstražné zařízení</w:t>
      </w:r>
    </w:p>
    <w:p w14:paraId="35956BBC" w14:textId="77777777" w:rsidR="00700D6C" w:rsidRPr="00B36044" w:rsidRDefault="00700D6C" w:rsidP="00700D6C">
      <w:pPr>
        <w:pStyle w:val="Zkladntext"/>
        <w:numPr>
          <w:ilvl w:val="1"/>
          <w:numId w:val="9"/>
        </w:numPr>
        <w:spacing w:after="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Zvláštní výstražné zařízení umožňuje reprodukci mluveného slova. Jeho světelná část je na DA provedena v souladu s TP-STS/20-2019*, a to ve 2 samostatných celcích:</w:t>
      </w:r>
    </w:p>
    <w:p w14:paraId="4052C8F7" w14:textId="77777777" w:rsidR="00700D6C" w:rsidRPr="00B36044" w:rsidRDefault="00700D6C" w:rsidP="00700D6C">
      <w:pPr>
        <w:pStyle w:val="Zkladntext"/>
        <w:numPr>
          <w:ilvl w:val="0"/>
          <w:numId w:val="10"/>
        </w:numPr>
        <w:spacing w:after="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 xml:space="preserve">hlavní část (dále jen světelné zařízení), a </w:t>
      </w:r>
    </w:p>
    <w:p w14:paraId="42F47203" w14:textId="77777777" w:rsidR="00700D6C" w:rsidRPr="00B36044" w:rsidRDefault="00700D6C" w:rsidP="00700D6C">
      <w:pPr>
        <w:pStyle w:val="Zkladntext"/>
        <w:numPr>
          <w:ilvl w:val="0"/>
          <w:numId w:val="10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doplňkové svítilny</w:t>
      </w:r>
    </w:p>
    <w:p w14:paraId="36C6C577" w14:textId="77777777" w:rsidR="00700D6C" w:rsidRPr="00B36044" w:rsidRDefault="00700D6C" w:rsidP="00700D6C">
      <w:pPr>
        <w:pStyle w:val="Zkladntext"/>
        <w:numPr>
          <w:ilvl w:val="1"/>
          <w:numId w:val="9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Všechny prvky světelné části zvláštního výstražného zařízení mají čiré kryty.</w:t>
      </w:r>
    </w:p>
    <w:p w14:paraId="0292410C" w14:textId="6E939417" w:rsidR="00700D6C" w:rsidRPr="00B36044" w:rsidRDefault="00700D6C" w:rsidP="00700D6C">
      <w:pPr>
        <w:pStyle w:val="Zkladntext"/>
        <w:numPr>
          <w:ilvl w:val="1"/>
          <w:numId w:val="9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 xml:space="preserve">Světelné zařízení je tvořeno rampou o délce rovnající se nejméně 3/5 šířky střechy DA. Rampa je vybavena rohovými moduly zajišťujícími vykrytí potřebného vyzařovacího úhlu 360° a nejméně 2 přímými </w:t>
      </w:r>
      <w:proofErr w:type="gramStart"/>
      <w:r w:rsidRPr="00B36044">
        <w:rPr>
          <w:rFonts w:asciiTheme="minorHAnsi" w:hAnsiTheme="minorHAnsi" w:cstheme="minorHAnsi"/>
          <w:sz w:val="22"/>
          <w:szCs w:val="22"/>
        </w:rPr>
        <w:t>moduly - každý</w:t>
      </w:r>
      <w:proofErr w:type="gramEnd"/>
      <w:r w:rsidRPr="00B36044">
        <w:rPr>
          <w:rFonts w:asciiTheme="minorHAnsi" w:hAnsiTheme="minorHAnsi" w:cstheme="minorHAnsi"/>
          <w:sz w:val="22"/>
          <w:szCs w:val="22"/>
        </w:rPr>
        <w:t xml:space="preserve"> s nejméně 3 diodami pro zvýšení intenzity vyzařovaného </w:t>
      </w:r>
      <w:r w:rsidRPr="00B36044">
        <w:rPr>
          <w:rFonts w:asciiTheme="minorHAnsi" w:hAnsiTheme="minorHAnsi" w:cstheme="minorHAnsi"/>
          <w:sz w:val="22"/>
          <w:szCs w:val="22"/>
        </w:rPr>
        <w:lastRenderedPageBreak/>
        <w:t>světla ve směru jízdy. Není-li z důvodu konstrukčního provedení DA nebo umístění vybavení zabezpečena viditelnost vyzařovacích úhlů rampy ze 360° ve vzdálenosti 20 m od ní (ve výšce 1</w:t>
      </w:r>
      <w:r w:rsidR="00517E77">
        <w:rPr>
          <w:rFonts w:asciiTheme="minorHAnsi" w:hAnsiTheme="minorHAnsi" w:cstheme="minorHAnsi"/>
          <w:sz w:val="22"/>
          <w:szCs w:val="22"/>
        </w:rPr>
        <w:t> </w:t>
      </w:r>
      <w:r w:rsidRPr="00B36044">
        <w:rPr>
          <w:rFonts w:asciiTheme="minorHAnsi" w:hAnsiTheme="minorHAnsi" w:cstheme="minorHAnsi"/>
          <w:sz w:val="22"/>
          <w:szCs w:val="22"/>
        </w:rPr>
        <w:t xml:space="preserve">m nad zemí), musí být světelné zařízení DA tvořeno i dalšími výstražnými svítilnami pro dokrytí, rampou </w:t>
      </w:r>
      <w:proofErr w:type="spellStart"/>
      <w:r w:rsidRPr="00B36044">
        <w:rPr>
          <w:rFonts w:asciiTheme="minorHAnsi" w:hAnsiTheme="minorHAnsi" w:cstheme="minorHAnsi"/>
          <w:sz w:val="22"/>
          <w:szCs w:val="22"/>
        </w:rPr>
        <w:t>nevykrytých</w:t>
      </w:r>
      <w:proofErr w:type="spellEnd"/>
      <w:r w:rsidRPr="00B36044">
        <w:rPr>
          <w:rFonts w:asciiTheme="minorHAnsi" w:hAnsiTheme="minorHAnsi" w:cstheme="minorHAnsi"/>
          <w:sz w:val="22"/>
          <w:szCs w:val="22"/>
        </w:rPr>
        <w:t xml:space="preserve">, úhlů. Světelné zařízení vyzařuje dle bodu 11, písm. b) TP-STS/20-2019* v režimu </w:t>
      </w:r>
      <w:proofErr w:type="spellStart"/>
      <w:r w:rsidRPr="00B36044">
        <w:rPr>
          <w:rFonts w:asciiTheme="minorHAnsi" w:hAnsiTheme="minorHAnsi" w:cstheme="minorHAnsi"/>
          <w:sz w:val="22"/>
          <w:szCs w:val="22"/>
        </w:rPr>
        <w:t>dvojzáblesk</w:t>
      </w:r>
      <w:proofErr w:type="spellEnd"/>
      <w:r w:rsidRPr="00B36044">
        <w:rPr>
          <w:rFonts w:asciiTheme="minorHAnsi" w:hAnsiTheme="minorHAnsi" w:cstheme="minorHAnsi"/>
          <w:sz w:val="22"/>
          <w:szCs w:val="22"/>
        </w:rPr>
        <w:t xml:space="preserve"> (R65). Rampa může být vybavena ochranným prvkem proti zachycení větví.</w:t>
      </w:r>
    </w:p>
    <w:p w14:paraId="3FD62288" w14:textId="77777777" w:rsidR="00700D6C" w:rsidRPr="00B36044" w:rsidRDefault="00700D6C" w:rsidP="00700D6C">
      <w:pPr>
        <w:pStyle w:val="Zkladntext"/>
        <w:numPr>
          <w:ilvl w:val="1"/>
          <w:numId w:val="9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DA je na přední straně kabiny osádky pod předním oknem vybaven 1 párem doplňkových svítilen (každá svítilna s nejméně 6 diodami). Doplňkové svítilny vyzařují dle bodu 1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B36044">
        <w:rPr>
          <w:rFonts w:asciiTheme="minorHAnsi" w:hAnsiTheme="minorHAnsi" w:cstheme="minorHAnsi"/>
          <w:sz w:val="22"/>
          <w:szCs w:val="22"/>
        </w:rPr>
        <w:t xml:space="preserve"> TP-STS/20-2019* v režimu </w:t>
      </w:r>
      <w:proofErr w:type="spellStart"/>
      <w:r w:rsidRPr="00B36044">
        <w:rPr>
          <w:rFonts w:asciiTheme="minorHAnsi" w:hAnsiTheme="minorHAnsi" w:cstheme="minorHAnsi"/>
          <w:sz w:val="22"/>
          <w:szCs w:val="22"/>
        </w:rPr>
        <w:t>dvojzáblesk</w:t>
      </w:r>
      <w:proofErr w:type="spellEnd"/>
      <w:r w:rsidRPr="00B36044">
        <w:rPr>
          <w:rFonts w:asciiTheme="minorHAnsi" w:hAnsiTheme="minorHAnsi" w:cstheme="minorHAnsi"/>
          <w:sz w:val="22"/>
          <w:szCs w:val="22"/>
        </w:rPr>
        <w:t xml:space="preserve"> (R65). Doplňkové svítilny nejsou synchronizovány se světelným zařízením.</w:t>
      </w:r>
    </w:p>
    <w:p w14:paraId="14F78597" w14:textId="77777777" w:rsidR="00700D6C" w:rsidRPr="00B36044" w:rsidRDefault="00700D6C" w:rsidP="00700D6C">
      <w:pPr>
        <w:pStyle w:val="Zkladntext"/>
        <w:numPr>
          <w:ilvl w:val="1"/>
          <w:numId w:val="9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Doplňkové svítilny na přední straně kabiny osádky a přímé moduly v rampě pro zvýšení intenzity vyzařovaného světla ve směru jízdy lze v případě potřeby současně vypnout samostatným vypínačem na ovládacím panelu ZVZ.</w:t>
      </w:r>
    </w:p>
    <w:p w14:paraId="76CCB596" w14:textId="2B1B80E9" w:rsidR="00700D6C" w:rsidRPr="00B36044" w:rsidRDefault="00700D6C" w:rsidP="00700D6C">
      <w:pPr>
        <w:pStyle w:val="Zkladntext"/>
        <w:numPr>
          <w:ilvl w:val="1"/>
          <w:numId w:val="9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Všechny světelné části ZVZ jsou provedeny pro dvě úrovně svítivosti – DEN/NOC homologace podle EHK 65, třída 2. Musí být zapojeny tak, aby na změnu intenzity okolního osvětlení reagovaly vždy jako celek, a to automaticky, nebo prostřednictvím ovladače umístěného v dosahu řidiče.</w:t>
      </w:r>
    </w:p>
    <w:p w14:paraId="265F437D" w14:textId="77777777" w:rsidR="00700D6C" w:rsidRPr="00B36044" w:rsidRDefault="00700D6C" w:rsidP="00700D6C">
      <w:pPr>
        <w:pStyle w:val="Zkladntext"/>
        <w:numPr>
          <w:ilvl w:val="1"/>
          <w:numId w:val="9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Ovládací prvky ZVZ jsou umístěny v dosahu řidiče.</w:t>
      </w:r>
    </w:p>
    <w:p w14:paraId="2FACDFF6" w14:textId="77777777" w:rsidR="00700D6C" w:rsidRPr="00B36044" w:rsidRDefault="00700D6C" w:rsidP="00700D6C">
      <w:pPr>
        <w:pStyle w:val="Zkladntext"/>
        <w:numPr>
          <w:ilvl w:val="1"/>
          <w:numId w:val="9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Reproduktor ZVZ je umístěn tak, aby jeho vyzařování ve směru jízdy nebylo zásadním způsobem omezeno konstrukčními prvky, karosérií a výbavou DA. Samostatný reproduktor může být nahrazen dvojicí paralelně zapojených a sfázovaných reproduktorů (o nejméně stejných elektrických a akustických parametrech soustavy jako u samostatného reproduktoru).</w:t>
      </w:r>
    </w:p>
    <w:p w14:paraId="1618BA22" w14:textId="77777777" w:rsidR="00700D6C" w:rsidRPr="00B36044" w:rsidRDefault="00700D6C" w:rsidP="00700D6C">
      <w:pPr>
        <w:pStyle w:val="Zkladntext"/>
        <w:numPr>
          <w:ilvl w:val="0"/>
          <w:numId w:val="7"/>
        </w:numPr>
        <w:spacing w:after="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6044">
        <w:rPr>
          <w:rFonts w:asciiTheme="minorHAnsi" w:hAnsiTheme="minorHAnsi" w:cstheme="minorHAnsi"/>
          <w:b/>
          <w:sz w:val="22"/>
          <w:szCs w:val="22"/>
        </w:rPr>
        <w:t>Požární příslušenství</w:t>
      </w:r>
    </w:p>
    <w:p w14:paraId="78FC7798" w14:textId="5109D7B8" w:rsidR="00700D6C" w:rsidRPr="00502530" w:rsidRDefault="00700D6C" w:rsidP="00502530">
      <w:pPr>
        <w:pStyle w:val="Zkladntex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36044">
        <w:rPr>
          <w:rFonts w:asciiTheme="minorHAnsi" w:hAnsiTheme="minorHAnsi" w:cstheme="minorHAnsi"/>
          <w:sz w:val="22"/>
          <w:szCs w:val="22"/>
        </w:rPr>
        <w:t>DA je vybaven následujícími položkami požárního příslušenství: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1134"/>
        <w:gridCol w:w="1134"/>
        <w:gridCol w:w="1134"/>
      </w:tblGrid>
      <w:tr w:rsidR="00700D6C" w:rsidRPr="00B36044" w14:paraId="1B3031C7" w14:textId="77777777" w:rsidTr="001201DB">
        <w:trPr>
          <w:trHeight w:val="645"/>
          <w:jc w:val="center"/>
        </w:trPr>
        <w:tc>
          <w:tcPr>
            <w:tcW w:w="5949" w:type="dxa"/>
            <w:vAlign w:val="center"/>
            <w:hideMark/>
          </w:tcPr>
          <w:p w14:paraId="0884F670" w14:textId="77777777" w:rsidR="00700D6C" w:rsidRPr="00B36044" w:rsidRDefault="00700D6C" w:rsidP="001201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název požárního příslušenství</w:t>
            </w:r>
          </w:p>
        </w:tc>
        <w:tc>
          <w:tcPr>
            <w:tcW w:w="1134" w:type="dxa"/>
            <w:vAlign w:val="center"/>
            <w:hideMark/>
          </w:tcPr>
          <w:p w14:paraId="6FEECFAC" w14:textId="77777777" w:rsidR="00700D6C" w:rsidRPr="00B36044" w:rsidRDefault="00700D6C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počet kusů/párů</w:t>
            </w:r>
          </w:p>
        </w:tc>
        <w:tc>
          <w:tcPr>
            <w:tcW w:w="1134" w:type="dxa"/>
            <w:vAlign w:val="center"/>
            <w:hideMark/>
          </w:tcPr>
          <w:p w14:paraId="37A1E109" w14:textId="77777777" w:rsidR="00700D6C" w:rsidRPr="00B36044" w:rsidRDefault="00700D6C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dodá zadavatel</w:t>
            </w:r>
          </w:p>
        </w:tc>
        <w:tc>
          <w:tcPr>
            <w:tcW w:w="1134" w:type="dxa"/>
            <w:vAlign w:val="center"/>
            <w:hideMark/>
          </w:tcPr>
          <w:p w14:paraId="5842F14E" w14:textId="77777777" w:rsidR="00700D6C" w:rsidRPr="00B36044" w:rsidRDefault="00700D6C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dodá výrobce</w:t>
            </w:r>
          </w:p>
        </w:tc>
      </w:tr>
      <w:tr w:rsidR="00700D6C" w:rsidRPr="00B36044" w14:paraId="6D4B3D73" w14:textId="77777777" w:rsidTr="001201DB">
        <w:trPr>
          <w:trHeight w:val="330"/>
          <w:jc w:val="center"/>
        </w:trPr>
        <w:tc>
          <w:tcPr>
            <w:tcW w:w="5949" w:type="dxa"/>
            <w:vAlign w:val="center"/>
            <w:hideMark/>
          </w:tcPr>
          <w:p w14:paraId="22F25D1C" w14:textId="77777777" w:rsidR="00700D6C" w:rsidRPr="00B36044" w:rsidRDefault="00700D6C" w:rsidP="001201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 xml:space="preserve">nástroj ruční vyprošťovací </w:t>
            </w:r>
          </w:p>
        </w:tc>
        <w:tc>
          <w:tcPr>
            <w:tcW w:w="1134" w:type="dxa"/>
            <w:noWrap/>
            <w:vAlign w:val="center"/>
            <w:hideMark/>
          </w:tcPr>
          <w:p w14:paraId="46EACF64" w14:textId="77777777" w:rsidR="00700D6C" w:rsidRPr="00B36044" w:rsidRDefault="00700D6C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39230F76" w14:textId="3580D0FE" w:rsidR="00700D6C" w:rsidRPr="00F05A2A" w:rsidRDefault="00502530" w:rsidP="005025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502530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1114FD6F" w14:textId="46EB804C" w:rsidR="00700D6C" w:rsidRPr="00B36044" w:rsidRDefault="00502530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</w:tr>
      <w:tr w:rsidR="00700D6C" w:rsidRPr="00B36044" w14:paraId="618F5A5D" w14:textId="77777777" w:rsidTr="001201DB">
        <w:trPr>
          <w:trHeight w:val="330"/>
          <w:jc w:val="center"/>
        </w:trPr>
        <w:tc>
          <w:tcPr>
            <w:tcW w:w="5949" w:type="dxa"/>
            <w:vAlign w:val="center"/>
            <w:hideMark/>
          </w:tcPr>
          <w:p w14:paraId="7A815278" w14:textId="77777777" w:rsidR="00700D6C" w:rsidRPr="00B36044" w:rsidRDefault="00700D6C" w:rsidP="001201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nůž (řezák) vyprošťovací, na bezpečnostní pásy</w:t>
            </w:r>
          </w:p>
        </w:tc>
        <w:tc>
          <w:tcPr>
            <w:tcW w:w="1134" w:type="dxa"/>
            <w:noWrap/>
            <w:vAlign w:val="center"/>
            <w:hideMark/>
          </w:tcPr>
          <w:p w14:paraId="4E45C2CC" w14:textId="77777777" w:rsidR="00700D6C" w:rsidRPr="00B36044" w:rsidRDefault="00700D6C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654EFA07" w14:textId="65ECDDE4" w:rsidR="00700D6C" w:rsidRPr="00F05A2A" w:rsidRDefault="00502530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21DACA4B" w14:textId="4B095DED" w:rsidR="00700D6C" w:rsidRPr="00B36044" w:rsidRDefault="00502530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</w:tr>
      <w:tr w:rsidR="00700D6C" w:rsidRPr="00B36044" w14:paraId="7B480EBA" w14:textId="77777777" w:rsidTr="001201DB">
        <w:trPr>
          <w:trHeight w:val="330"/>
          <w:jc w:val="center"/>
        </w:trPr>
        <w:tc>
          <w:tcPr>
            <w:tcW w:w="5949" w:type="dxa"/>
            <w:vAlign w:val="center"/>
            <w:hideMark/>
          </w:tcPr>
          <w:p w14:paraId="538A87B0" w14:textId="77777777" w:rsidR="00700D6C" w:rsidRPr="00B36044" w:rsidRDefault="00700D6C" w:rsidP="001201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páska vytyčovací, červenobílá, délka 500 m</w:t>
            </w:r>
          </w:p>
        </w:tc>
        <w:tc>
          <w:tcPr>
            <w:tcW w:w="1134" w:type="dxa"/>
            <w:noWrap/>
            <w:vAlign w:val="center"/>
            <w:hideMark/>
          </w:tcPr>
          <w:p w14:paraId="048445FB" w14:textId="77777777" w:rsidR="00700D6C" w:rsidRPr="00B36044" w:rsidRDefault="00700D6C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617D55E5" w14:textId="4E58FAEB" w:rsidR="00700D6C" w:rsidRPr="00F05A2A" w:rsidRDefault="00502530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2055165F" w14:textId="469ED712" w:rsidR="00700D6C" w:rsidRPr="00B36044" w:rsidRDefault="00502530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</w:tr>
      <w:tr w:rsidR="00700D6C" w:rsidRPr="00B36044" w14:paraId="6A915A49" w14:textId="77777777" w:rsidTr="001201DB">
        <w:trPr>
          <w:trHeight w:val="330"/>
          <w:jc w:val="center"/>
        </w:trPr>
        <w:tc>
          <w:tcPr>
            <w:tcW w:w="5949" w:type="dxa"/>
            <w:vAlign w:val="center"/>
            <w:hideMark/>
          </w:tcPr>
          <w:p w14:paraId="1669FC12" w14:textId="77777777" w:rsidR="00700D6C" w:rsidRPr="00B36044" w:rsidRDefault="00700D6C" w:rsidP="001201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36044">
              <w:rPr>
                <w:rFonts w:cstheme="minorHAnsi"/>
              </w:rPr>
              <w:t>prostředky první pomoci (lékárna v batohu/kufru) podle TP-TS/08-2016* v rozsahu povinné výbavy pro kategorii 2</w:t>
            </w:r>
          </w:p>
        </w:tc>
        <w:tc>
          <w:tcPr>
            <w:tcW w:w="1134" w:type="dxa"/>
            <w:noWrap/>
            <w:vAlign w:val="center"/>
            <w:hideMark/>
          </w:tcPr>
          <w:p w14:paraId="7AF7F3CF" w14:textId="77777777" w:rsidR="00700D6C" w:rsidRPr="00B36044" w:rsidRDefault="00700D6C" w:rsidP="002A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15515206" w14:textId="6DD03FE5" w:rsidR="00700D6C" w:rsidRPr="00F05A2A" w:rsidRDefault="002A04A9" w:rsidP="002A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6BC4738A" w14:textId="69301D8A" w:rsidR="00700D6C" w:rsidRPr="00B36044" w:rsidRDefault="002A04A9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</w:tr>
      <w:tr w:rsidR="00700D6C" w:rsidRPr="00B36044" w14:paraId="63B21323" w14:textId="77777777" w:rsidTr="001201DB">
        <w:trPr>
          <w:trHeight w:val="372"/>
          <w:jc w:val="center"/>
        </w:trPr>
        <w:tc>
          <w:tcPr>
            <w:tcW w:w="5949" w:type="dxa"/>
            <w:vAlign w:val="center"/>
            <w:hideMark/>
          </w:tcPr>
          <w:p w14:paraId="654184C0" w14:textId="77777777" w:rsidR="00700D6C" w:rsidRPr="00B36044" w:rsidRDefault="00700D6C" w:rsidP="001201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přístroj hasicí CO</w:t>
            </w:r>
            <w:r w:rsidRPr="00B36044">
              <w:rPr>
                <w:rFonts w:eastAsia="Times New Roman" w:cstheme="minorHAnsi"/>
                <w:color w:val="000000"/>
                <w:vertAlign w:val="subscript"/>
                <w:lang w:eastAsia="cs-CZ"/>
              </w:rPr>
              <w:t>2</w:t>
            </w:r>
            <w:r w:rsidRPr="00B36044">
              <w:rPr>
                <w:rFonts w:eastAsia="Times New Roman" w:cstheme="minorHAnsi"/>
                <w:color w:val="000000"/>
                <w:lang w:eastAsia="cs-CZ"/>
              </w:rPr>
              <w:t xml:space="preserve">, přenosný, s hasicí schopností </w:t>
            </w:r>
            <w:proofErr w:type="gramStart"/>
            <w:r w:rsidRPr="00B36044">
              <w:rPr>
                <w:rFonts w:eastAsia="Times New Roman" w:cstheme="minorHAnsi"/>
                <w:color w:val="000000"/>
                <w:lang w:eastAsia="cs-CZ"/>
              </w:rPr>
              <w:t>89B</w:t>
            </w:r>
            <w:proofErr w:type="gramEnd"/>
          </w:p>
        </w:tc>
        <w:tc>
          <w:tcPr>
            <w:tcW w:w="1134" w:type="dxa"/>
            <w:noWrap/>
            <w:vAlign w:val="center"/>
            <w:hideMark/>
          </w:tcPr>
          <w:p w14:paraId="1D8E989D" w14:textId="77777777" w:rsidR="00700D6C" w:rsidRPr="00B36044" w:rsidRDefault="00700D6C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028170DE" w14:textId="53EC0744" w:rsidR="00700D6C" w:rsidRPr="00F05A2A" w:rsidRDefault="002A04A9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3AD3A01C" w14:textId="20DF90E6" w:rsidR="00700D6C" w:rsidRPr="00B36044" w:rsidRDefault="002A04A9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</w:tr>
      <w:tr w:rsidR="00700D6C" w:rsidRPr="00B36044" w14:paraId="3CEE6920" w14:textId="77777777" w:rsidTr="001201DB">
        <w:trPr>
          <w:trHeight w:val="645"/>
          <w:jc w:val="center"/>
        </w:trPr>
        <w:tc>
          <w:tcPr>
            <w:tcW w:w="5949" w:type="dxa"/>
            <w:vAlign w:val="center"/>
            <w:hideMark/>
          </w:tcPr>
          <w:p w14:paraId="419502B3" w14:textId="77777777" w:rsidR="00700D6C" w:rsidRPr="00B36044" w:rsidRDefault="00700D6C" w:rsidP="001201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 xml:space="preserve">přístroj hasicí práškový, přenosný, s hasicí schopností </w:t>
            </w:r>
            <w:proofErr w:type="gramStart"/>
            <w:r w:rsidRPr="00B36044">
              <w:rPr>
                <w:rFonts w:eastAsia="Times New Roman" w:cstheme="minorHAnsi"/>
                <w:color w:val="000000"/>
                <w:lang w:eastAsia="cs-CZ"/>
              </w:rPr>
              <w:t>34A</w:t>
            </w:r>
            <w:proofErr w:type="gramEnd"/>
            <w:r w:rsidRPr="00B36044">
              <w:rPr>
                <w:rFonts w:eastAsia="Times New Roman" w:cstheme="minorHAnsi"/>
                <w:color w:val="000000"/>
                <w:lang w:eastAsia="cs-CZ"/>
              </w:rPr>
              <w:t xml:space="preserve"> a zároveň </w:t>
            </w:r>
            <w:proofErr w:type="gramStart"/>
            <w:r w:rsidRPr="00B36044">
              <w:rPr>
                <w:rFonts w:eastAsia="Times New Roman" w:cstheme="minorHAnsi"/>
                <w:color w:val="000000"/>
                <w:lang w:eastAsia="cs-CZ"/>
              </w:rPr>
              <w:t>183B</w:t>
            </w:r>
            <w:proofErr w:type="gramEnd"/>
          </w:p>
        </w:tc>
        <w:tc>
          <w:tcPr>
            <w:tcW w:w="1134" w:type="dxa"/>
            <w:noWrap/>
            <w:vAlign w:val="center"/>
            <w:hideMark/>
          </w:tcPr>
          <w:p w14:paraId="0C9576D4" w14:textId="77777777" w:rsidR="00700D6C" w:rsidRPr="00B36044" w:rsidRDefault="00700D6C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5CFC68C6" w14:textId="4FF4294D" w:rsidR="00700D6C" w:rsidRPr="00F05A2A" w:rsidRDefault="002A04A9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5A4C51E3" w14:textId="64E1467D" w:rsidR="00700D6C" w:rsidRPr="00B36044" w:rsidRDefault="002A04A9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</w:tr>
      <w:tr w:rsidR="00700D6C" w:rsidRPr="00B36044" w14:paraId="75FF9845" w14:textId="77777777" w:rsidTr="001201DB">
        <w:trPr>
          <w:trHeight w:val="330"/>
          <w:jc w:val="center"/>
        </w:trPr>
        <w:tc>
          <w:tcPr>
            <w:tcW w:w="5949" w:type="dxa"/>
            <w:vAlign w:val="center"/>
            <w:hideMark/>
          </w:tcPr>
          <w:p w14:paraId="5E108056" w14:textId="77777777" w:rsidR="00700D6C" w:rsidRPr="00B36044" w:rsidRDefault="00700D6C" w:rsidP="001201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36044">
              <w:rPr>
                <w:rFonts w:cstheme="minorHAnsi"/>
              </w:rPr>
              <w:t>rukavice lékařské pro jednorázové použití nesterilní, nejméně 100 kusů v balení, materiál nitril, podle ČSN EN 455</w:t>
            </w:r>
          </w:p>
        </w:tc>
        <w:tc>
          <w:tcPr>
            <w:tcW w:w="1134" w:type="dxa"/>
            <w:noWrap/>
            <w:vAlign w:val="center"/>
            <w:hideMark/>
          </w:tcPr>
          <w:p w14:paraId="3A184433" w14:textId="77777777" w:rsidR="00700D6C" w:rsidRPr="00B36044" w:rsidRDefault="00700D6C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4FFD3404" w14:textId="02393B82" w:rsidR="00700D6C" w:rsidRPr="00F05A2A" w:rsidRDefault="002A04A9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3FC14EFA" w14:textId="68AC9F80" w:rsidR="00700D6C" w:rsidRPr="00B36044" w:rsidRDefault="002A04A9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</w:tr>
      <w:tr w:rsidR="00700D6C" w:rsidRPr="00B36044" w14:paraId="4331CDD5" w14:textId="77777777" w:rsidTr="001201DB">
        <w:trPr>
          <w:trHeight w:val="330"/>
          <w:jc w:val="center"/>
        </w:trPr>
        <w:tc>
          <w:tcPr>
            <w:tcW w:w="5949" w:type="dxa"/>
            <w:vAlign w:val="center"/>
            <w:hideMark/>
          </w:tcPr>
          <w:p w14:paraId="69818BE5" w14:textId="416FD0F6" w:rsidR="00700D6C" w:rsidRPr="00B36044" w:rsidRDefault="00700D6C" w:rsidP="001201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světlomet požární 12 V, v provedení LED, se světelným tokem nejméně 1</w:t>
            </w:r>
            <w:r w:rsidR="002A04A9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B36044">
              <w:rPr>
                <w:rFonts w:eastAsia="Times New Roman" w:cstheme="minorHAnsi"/>
                <w:color w:val="000000"/>
                <w:lang w:eastAsia="cs-CZ"/>
              </w:rPr>
              <w:t xml:space="preserve">300 </w:t>
            </w:r>
            <w:proofErr w:type="spellStart"/>
            <w:r w:rsidRPr="00B36044">
              <w:rPr>
                <w:rFonts w:eastAsia="Times New Roman" w:cstheme="minorHAnsi"/>
                <w:color w:val="000000"/>
                <w:lang w:eastAsia="cs-CZ"/>
              </w:rPr>
              <w:t>lm</w:t>
            </w:r>
            <w:proofErr w:type="spellEnd"/>
            <w:r w:rsidRPr="00B36044">
              <w:rPr>
                <w:rFonts w:eastAsia="Times New Roman" w:cstheme="minorHAnsi"/>
                <w:color w:val="000000"/>
                <w:lang w:eastAsia="cs-CZ"/>
              </w:rPr>
              <w:t>, IP nejméně 54, s kloubovým magnetickým úchytem a kabelem o délce nejméně 3 m pro napojení na elektroinstalaci DA</w:t>
            </w:r>
          </w:p>
        </w:tc>
        <w:tc>
          <w:tcPr>
            <w:tcW w:w="1134" w:type="dxa"/>
            <w:noWrap/>
            <w:vAlign w:val="center"/>
            <w:hideMark/>
          </w:tcPr>
          <w:p w14:paraId="29E0C1B6" w14:textId="77777777" w:rsidR="00700D6C" w:rsidRPr="00B36044" w:rsidRDefault="00700D6C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2E741DB6" w14:textId="6E724292" w:rsidR="00700D6C" w:rsidRPr="00F05A2A" w:rsidRDefault="002A04A9" w:rsidP="002A04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37A4AA9B" w14:textId="73C2F4D6" w:rsidR="00700D6C" w:rsidRPr="00D00423" w:rsidRDefault="002A04A9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2</w:t>
            </w:r>
          </w:p>
        </w:tc>
      </w:tr>
      <w:tr w:rsidR="00700D6C" w:rsidRPr="00B36044" w14:paraId="7B401B91" w14:textId="77777777" w:rsidTr="001201DB">
        <w:trPr>
          <w:trHeight w:val="330"/>
          <w:jc w:val="center"/>
        </w:trPr>
        <w:tc>
          <w:tcPr>
            <w:tcW w:w="5949" w:type="dxa"/>
            <w:vAlign w:val="center"/>
            <w:hideMark/>
          </w:tcPr>
          <w:p w14:paraId="68B22FD4" w14:textId="77777777" w:rsidR="00700D6C" w:rsidRPr="00B36044" w:rsidRDefault="00700D6C" w:rsidP="001201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36044">
              <w:rPr>
                <w:rFonts w:cstheme="minorHAnsi"/>
              </w:rPr>
              <w:t>svítilna ruční akumulátorová s dobíjecím akumulátorem v provedení LED, ATEX, voděodolná, nárazuvzdorná</w:t>
            </w:r>
          </w:p>
        </w:tc>
        <w:tc>
          <w:tcPr>
            <w:tcW w:w="1134" w:type="dxa"/>
            <w:noWrap/>
            <w:vAlign w:val="center"/>
            <w:hideMark/>
          </w:tcPr>
          <w:p w14:paraId="16E1D4D9" w14:textId="77777777" w:rsidR="00700D6C" w:rsidRPr="00B36044" w:rsidRDefault="00700D6C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70AF53D5" w14:textId="720DF5B1" w:rsidR="00700D6C" w:rsidRPr="00D00423" w:rsidRDefault="002A04A9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cs-CZ"/>
              </w:rPr>
            </w:pPr>
            <w:r w:rsidRPr="00B36044">
              <w:rPr>
                <w:rFonts w:eastAsia="Times New Roman" w:cstheme="minorHAnsi"/>
                <w:color w:val="000000"/>
                <w:lang w:eastAsia="cs-CZ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11300BC4" w14:textId="1C9788C8" w:rsidR="00700D6C" w:rsidRPr="00B36044" w:rsidRDefault="002A04A9" w:rsidP="00120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</w:tr>
    </w:tbl>
    <w:p w14:paraId="65771FC0" w14:textId="55F6C1C7" w:rsidR="00956751" w:rsidRPr="00956751" w:rsidRDefault="00700D6C" w:rsidP="00956751">
      <w:pPr>
        <w:spacing w:before="120" w:after="120" w:line="288" w:lineRule="auto"/>
        <w:jc w:val="both"/>
        <w:rPr>
          <w:rFonts w:cstheme="minorHAnsi"/>
        </w:rPr>
      </w:pPr>
      <w:r w:rsidRPr="00B36044">
        <w:rPr>
          <w:rFonts w:cstheme="minorHAnsi"/>
          <w:b/>
        </w:rPr>
        <w:t xml:space="preserve">*Technické podmínky vydané MV-GŘ HZS ČR jsou veřejně dostupné ke stažení na webových stránkách: </w:t>
      </w:r>
      <w:hyperlink r:id="rId7" w:history="1">
        <w:r w:rsidR="005A5924" w:rsidRPr="00086166">
          <w:rPr>
            <w:rStyle w:val="Hypertextovodkaz"/>
            <w:rFonts w:cstheme="minorHAnsi"/>
          </w:rPr>
          <w:t>www.hzscr.cz/clanek/katalog-vydanych-technickych-podminek-pozarni-techniky-a-vecnych-prostredku.aspx</w:t>
        </w:r>
      </w:hyperlink>
    </w:p>
    <w:p w14:paraId="63B866D7" w14:textId="77777777" w:rsidR="00956751" w:rsidRDefault="00956751" w:rsidP="00956751">
      <w:pPr>
        <w:spacing w:before="120" w:after="120" w:line="288" w:lineRule="auto"/>
        <w:jc w:val="both"/>
        <w:rPr>
          <w:rFonts w:cstheme="minorHAnsi"/>
        </w:rPr>
      </w:pPr>
    </w:p>
    <w:p w14:paraId="0A5E464F" w14:textId="58A0E545" w:rsidR="005F672D" w:rsidRPr="004729B1" w:rsidRDefault="005F672D" w:rsidP="005F672D">
      <w:pPr>
        <w:spacing w:before="120" w:after="120" w:line="288" w:lineRule="auto"/>
        <w:jc w:val="center"/>
        <w:rPr>
          <w:rFonts w:cstheme="minorHAnsi"/>
          <w:u w:val="single"/>
        </w:rPr>
      </w:pPr>
      <w:r>
        <w:rPr>
          <w:rFonts w:cstheme="minorHAnsi"/>
          <w:b/>
          <w:bCs/>
          <w:u w:val="single"/>
        </w:rPr>
        <w:lastRenderedPageBreak/>
        <w:t>Další</w:t>
      </w:r>
      <w:r w:rsidRPr="004729B1">
        <w:rPr>
          <w:rFonts w:cstheme="minorHAnsi"/>
          <w:b/>
          <w:bCs/>
          <w:u w:val="single"/>
        </w:rPr>
        <w:t xml:space="preserve"> </w:t>
      </w:r>
      <w:r w:rsidR="00120309">
        <w:rPr>
          <w:rFonts w:cstheme="minorHAnsi"/>
          <w:b/>
          <w:bCs/>
          <w:u w:val="single"/>
        </w:rPr>
        <w:t xml:space="preserve">povinné </w:t>
      </w:r>
      <w:r w:rsidR="006E0DCA">
        <w:rPr>
          <w:rFonts w:cstheme="minorHAnsi"/>
          <w:b/>
          <w:bCs/>
          <w:u w:val="single"/>
        </w:rPr>
        <w:t xml:space="preserve">technické </w:t>
      </w:r>
      <w:r>
        <w:rPr>
          <w:rFonts w:cstheme="minorHAnsi"/>
          <w:b/>
          <w:bCs/>
          <w:u w:val="single"/>
        </w:rPr>
        <w:t>podmínky zadavatele pro dopravní automobil</w:t>
      </w:r>
    </w:p>
    <w:p w14:paraId="4AE33B14" w14:textId="77777777" w:rsidR="005F672D" w:rsidRDefault="005F672D" w:rsidP="00956751">
      <w:pPr>
        <w:spacing w:before="120" w:after="120" w:line="288" w:lineRule="auto"/>
        <w:jc w:val="both"/>
        <w:rPr>
          <w:rFonts w:cstheme="minorHAnsi"/>
        </w:rPr>
      </w:pPr>
    </w:p>
    <w:p w14:paraId="091CC383" w14:textId="6F150071" w:rsidR="005F672D" w:rsidRPr="005F672D" w:rsidRDefault="005F672D" w:rsidP="005F672D">
      <w:pPr>
        <w:numPr>
          <w:ilvl w:val="0"/>
          <w:numId w:val="33"/>
        </w:numPr>
        <w:tabs>
          <w:tab w:val="left" w:pos="426"/>
        </w:tabs>
        <w:spacing w:after="0" w:line="240" w:lineRule="auto"/>
        <w:ind w:left="703" w:hanging="703"/>
        <w:jc w:val="both"/>
        <w:rPr>
          <w:rFonts w:eastAsia="Times New Roman" w:cstheme="minorHAnsi"/>
          <w:bCs/>
          <w:lang w:eastAsia="cs-CZ"/>
        </w:rPr>
      </w:pPr>
      <w:r w:rsidRPr="005F672D">
        <w:rPr>
          <w:rFonts w:eastAsia="Times New Roman" w:cstheme="minorHAnsi"/>
          <w:bCs/>
          <w:lang w:eastAsia="cs-CZ"/>
        </w:rPr>
        <w:t>DA je dále vybaven</w:t>
      </w:r>
    </w:p>
    <w:p w14:paraId="1DA8910D" w14:textId="547F47FA" w:rsidR="005F672D" w:rsidRDefault="005F672D" w:rsidP="005F672D">
      <w:pPr>
        <w:numPr>
          <w:ilvl w:val="1"/>
          <w:numId w:val="33"/>
        </w:numPr>
        <w:tabs>
          <w:tab w:val="left" w:pos="426"/>
        </w:tabs>
        <w:spacing w:after="120" w:line="240" w:lineRule="auto"/>
        <w:ind w:left="851" w:hanging="284"/>
        <w:jc w:val="both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>vyhřívaným čelním sklem</w:t>
      </w:r>
    </w:p>
    <w:p w14:paraId="7782CF51" w14:textId="77777777" w:rsidR="005F672D" w:rsidRDefault="005F672D" w:rsidP="00956751">
      <w:pPr>
        <w:spacing w:before="120" w:after="120" w:line="288" w:lineRule="auto"/>
        <w:jc w:val="both"/>
        <w:rPr>
          <w:rFonts w:cstheme="minorHAnsi"/>
        </w:rPr>
      </w:pPr>
    </w:p>
    <w:p w14:paraId="42ABAF09" w14:textId="7583FE1C" w:rsidR="00F174D8" w:rsidRPr="00956751" w:rsidRDefault="00F174D8" w:rsidP="00956751">
      <w:pPr>
        <w:spacing w:before="120" w:after="120" w:line="288" w:lineRule="auto"/>
        <w:jc w:val="both"/>
        <w:rPr>
          <w:rFonts w:cstheme="minorHAnsi"/>
        </w:rPr>
      </w:pPr>
      <w:r w:rsidRPr="00956751">
        <w:rPr>
          <w:rFonts w:cstheme="minorHAnsi"/>
        </w:rPr>
        <w:t>Zadavatel si vyhrazuje právo ověřit a prověřit údaje uvedené jednotlivými účastníky zadávacího řízení v nabídkách z veřejně dostupných zdrojů či u třetích osob.</w:t>
      </w:r>
    </w:p>
    <w:p w14:paraId="72E9E7D1" w14:textId="57E84434" w:rsidR="00F174D8" w:rsidRDefault="00F174D8" w:rsidP="005A715B">
      <w:pPr>
        <w:jc w:val="both"/>
        <w:rPr>
          <w:rFonts w:cstheme="minorHAnsi"/>
        </w:rPr>
      </w:pPr>
      <w:r w:rsidRPr="00F174D8">
        <w:rPr>
          <w:rFonts w:cstheme="minorHAnsi"/>
        </w:rPr>
        <w:t>Zájemce musí na vyžádání zadavatele doložit pravdivost uváděných parametrů originální technickou dokumentací výrobce či jiným doložitelným způsobem. Pokud tak neučiní ve lhůtě stanovené dodavatelem, bude ze zadávacího řízení vyloučen.</w:t>
      </w:r>
    </w:p>
    <w:p w14:paraId="410CE784" w14:textId="77777777" w:rsidR="005A715B" w:rsidRDefault="005A715B" w:rsidP="005A715B">
      <w:pPr>
        <w:jc w:val="both"/>
        <w:rPr>
          <w:rFonts w:cstheme="minorHAnsi"/>
        </w:rPr>
      </w:pPr>
    </w:p>
    <w:p w14:paraId="5DB5949B" w14:textId="77777777" w:rsidR="00120309" w:rsidRPr="00F174D8" w:rsidRDefault="00120309" w:rsidP="005A715B">
      <w:pPr>
        <w:jc w:val="both"/>
        <w:rPr>
          <w:rFonts w:cstheme="minorHAnsi"/>
        </w:rPr>
      </w:pPr>
    </w:p>
    <w:p w14:paraId="4E80A438" w14:textId="480585F6" w:rsidR="00F174D8" w:rsidRPr="00F174D8" w:rsidRDefault="00F174D8" w:rsidP="00F174D8">
      <w:pPr>
        <w:rPr>
          <w:rFonts w:cstheme="minorHAnsi"/>
        </w:rPr>
      </w:pPr>
      <w:r w:rsidRPr="00F174D8">
        <w:rPr>
          <w:rFonts w:cstheme="minorHAnsi"/>
        </w:rPr>
        <w:t>V ………………………………….</w:t>
      </w:r>
      <w:r w:rsidR="00031E50">
        <w:rPr>
          <w:rFonts w:cstheme="minorHAnsi"/>
        </w:rPr>
        <w:tab/>
      </w:r>
      <w:r w:rsidRPr="00F174D8">
        <w:rPr>
          <w:rFonts w:cstheme="minorHAnsi"/>
        </w:rPr>
        <w:t>dne …………...</w:t>
      </w:r>
      <w:r>
        <w:rPr>
          <w:rFonts w:cstheme="minorHAnsi"/>
        </w:rPr>
        <w:t>..............</w:t>
      </w:r>
    </w:p>
    <w:p w14:paraId="0FE65454" w14:textId="1E005264" w:rsidR="00F174D8" w:rsidRPr="00F174D8" w:rsidRDefault="00F174D8" w:rsidP="00F174D8">
      <w:pPr>
        <w:rPr>
          <w:rFonts w:cstheme="minorHAnsi"/>
        </w:rPr>
      </w:pPr>
      <w:r w:rsidRPr="00F174D8">
        <w:rPr>
          <w:rFonts w:cstheme="minorHAnsi"/>
        </w:rPr>
        <w:t xml:space="preserve">                                                                                                           </w:t>
      </w:r>
    </w:p>
    <w:p w14:paraId="123DD842" w14:textId="77777777" w:rsidR="00F174D8" w:rsidRPr="00F174D8" w:rsidRDefault="00F174D8" w:rsidP="00F174D8">
      <w:pPr>
        <w:spacing w:after="0"/>
        <w:rPr>
          <w:rFonts w:cstheme="minorHAnsi"/>
        </w:rPr>
      </w:pPr>
      <w:r w:rsidRPr="00F174D8">
        <w:rPr>
          <w:rFonts w:cstheme="minorHAnsi"/>
        </w:rPr>
        <w:tab/>
      </w:r>
      <w:r w:rsidRPr="00F174D8">
        <w:rPr>
          <w:rFonts w:cstheme="minorHAnsi"/>
        </w:rPr>
        <w:tab/>
      </w:r>
      <w:r w:rsidRPr="00F174D8">
        <w:rPr>
          <w:rFonts w:cstheme="minorHAnsi"/>
        </w:rPr>
        <w:tab/>
      </w:r>
      <w:r w:rsidRPr="00F174D8">
        <w:rPr>
          <w:rFonts w:cstheme="minorHAnsi"/>
        </w:rPr>
        <w:tab/>
      </w:r>
      <w:r w:rsidRPr="00F174D8">
        <w:rPr>
          <w:rFonts w:cstheme="minorHAnsi"/>
        </w:rPr>
        <w:tab/>
      </w:r>
      <w:r w:rsidRPr="00F174D8">
        <w:rPr>
          <w:rFonts w:cstheme="minorHAnsi"/>
        </w:rPr>
        <w:tab/>
      </w:r>
      <w:r w:rsidRPr="00F174D8">
        <w:rPr>
          <w:rFonts w:cstheme="minorHAnsi"/>
        </w:rPr>
        <w:tab/>
        <w:t>…………………………………………………………..</w:t>
      </w:r>
    </w:p>
    <w:p w14:paraId="40742491" w14:textId="0C4E9F5C" w:rsidR="00F174D8" w:rsidRPr="00D303F7" w:rsidRDefault="00F174D8" w:rsidP="005A715B">
      <w:pPr>
        <w:spacing w:after="0"/>
        <w:rPr>
          <w:rFonts w:cstheme="minorHAnsi"/>
        </w:rPr>
      </w:pPr>
      <w:r w:rsidRPr="00F174D8">
        <w:rPr>
          <w:rFonts w:cstheme="minorHAnsi"/>
        </w:rPr>
        <w:tab/>
      </w:r>
      <w:r w:rsidRPr="00F174D8">
        <w:rPr>
          <w:rFonts w:cstheme="minorHAnsi"/>
        </w:rPr>
        <w:tab/>
      </w:r>
      <w:r w:rsidRPr="00F174D8">
        <w:rPr>
          <w:rFonts w:cstheme="minorHAnsi"/>
        </w:rPr>
        <w:tab/>
      </w:r>
      <w:r w:rsidRPr="00F174D8">
        <w:rPr>
          <w:rFonts w:cstheme="minorHAnsi"/>
        </w:rPr>
        <w:tab/>
      </w:r>
      <w:r w:rsidRPr="00F174D8">
        <w:rPr>
          <w:rFonts w:cstheme="minorHAnsi"/>
        </w:rPr>
        <w:tab/>
      </w:r>
      <w:r w:rsidRPr="00F174D8">
        <w:rPr>
          <w:rFonts w:cstheme="minorHAnsi"/>
        </w:rPr>
        <w:tab/>
      </w:r>
      <w:r w:rsidRPr="00F174D8">
        <w:rPr>
          <w:rFonts w:cstheme="minorHAnsi"/>
        </w:rPr>
        <w:tab/>
      </w:r>
      <w:r w:rsidRPr="00F174D8">
        <w:rPr>
          <w:rFonts w:cstheme="minorHAnsi"/>
        </w:rPr>
        <w:tab/>
        <w:t xml:space="preserve">           podpis</w:t>
      </w:r>
    </w:p>
    <w:sectPr w:rsidR="00F174D8" w:rsidRPr="00D303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3119" w14:textId="77777777" w:rsidR="00D061C0" w:rsidRDefault="00D061C0" w:rsidP="008A72AE">
      <w:pPr>
        <w:spacing w:after="0" w:line="240" w:lineRule="auto"/>
      </w:pPr>
      <w:r>
        <w:separator/>
      </w:r>
    </w:p>
  </w:endnote>
  <w:endnote w:type="continuationSeparator" w:id="0">
    <w:p w14:paraId="73564F2A" w14:textId="77777777" w:rsidR="00D061C0" w:rsidRDefault="00D061C0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94620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416C61" w14:textId="5A6A8EA4" w:rsidR="00D303F7" w:rsidRDefault="00D303F7">
            <w:pPr>
              <w:pStyle w:val="Zpat"/>
              <w:jc w:val="center"/>
            </w:pPr>
            <w:r w:rsidRPr="00D303F7">
              <w:rPr>
                <w:sz w:val="20"/>
                <w:szCs w:val="20"/>
              </w:rPr>
              <w:t xml:space="preserve">Stránka </w:t>
            </w:r>
            <w:r w:rsidRPr="00D303F7">
              <w:rPr>
                <w:bCs/>
                <w:sz w:val="20"/>
                <w:szCs w:val="20"/>
              </w:rPr>
              <w:fldChar w:fldCharType="begin"/>
            </w:r>
            <w:r w:rsidRPr="00D303F7">
              <w:rPr>
                <w:bCs/>
                <w:sz w:val="20"/>
                <w:szCs w:val="20"/>
              </w:rPr>
              <w:instrText>PAGE</w:instrText>
            </w:r>
            <w:r w:rsidRPr="00D303F7">
              <w:rPr>
                <w:bCs/>
                <w:sz w:val="20"/>
                <w:szCs w:val="20"/>
              </w:rPr>
              <w:fldChar w:fldCharType="separate"/>
            </w:r>
            <w:r w:rsidR="008233A4">
              <w:rPr>
                <w:bCs/>
                <w:noProof/>
                <w:sz w:val="20"/>
                <w:szCs w:val="20"/>
              </w:rPr>
              <w:t>3</w:t>
            </w:r>
            <w:r w:rsidRPr="00D303F7">
              <w:rPr>
                <w:bCs/>
                <w:sz w:val="20"/>
                <w:szCs w:val="20"/>
              </w:rPr>
              <w:fldChar w:fldCharType="end"/>
            </w:r>
            <w:r w:rsidRPr="00D303F7">
              <w:rPr>
                <w:sz w:val="20"/>
                <w:szCs w:val="20"/>
              </w:rPr>
              <w:t xml:space="preserve"> z </w:t>
            </w:r>
            <w:r w:rsidRPr="00D303F7">
              <w:rPr>
                <w:bCs/>
                <w:sz w:val="20"/>
                <w:szCs w:val="20"/>
              </w:rPr>
              <w:fldChar w:fldCharType="begin"/>
            </w:r>
            <w:r w:rsidRPr="00D303F7">
              <w:rPr>
                <w:bCs/>
                <w:sz w:val="20"/>
                <w:szCs w:val="20"/>
              </w:rPr>
              <w:instrText>NUMPAGES</w:instrText>
            </w:r>
            <w:r w:rsidRPr="00D303F7">
              <w:rPr>
                <w:bCs/>
                <w:sz w:val="20"/>
                <w:szCs w:val="20"/>
              </w:rPr>
              <w:fldChar w:fldCharType="separate"/>
            </w:r>
            <w:r w:rsidR="008233A4">
              <w:rPr>
                <w:bCs/>
                <w:noProof/>
                <w:sz w:val="20"/>
                <w:szCs w:val="20"/>
              </w:rPr>
              <w:t>3</w:t>
            </w:r>
            <w:r w:rsidRPr="00D303F7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E774F8" w14:textId="77777777" w:rsidR="00D303F7" w:rsidRDefault="00D303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5DC49" w14:textId="77777777" w:rsidR="00D061C0" w:rsidRDefault="00D061C0" w:rsidP="008A72AE">
      <w:pPr>
        <w:spacing w:after="0" w:line="240" w:lineRule="auto"/>
      </w:pPr>
      <w:r>
        <w:separator/>
      </w:r>
    </w:p>
  </w:footnote>
  <w:footnote w:type="continuationSeparator" w:id="0">
    <w:p w14:paraId="7BB44B41" w14:textId="77777777" w:rsidR="00D061C0" w:rsidRDefault="00D061C0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B509" w14:textId="77777777" w:rsidR="00F87D0E" w:rsidRDefault="00F87D0E">
    <w:pPr>
      <w:pStyle w:val="Zhlav"/>
    </w:pPr>
  </w:p>
  <w:p w14:paraId="1F16DFBB" w14:textId="77777777" w:rsidR="00F87D0E" w:rsidRDefault="00F87D0E">
    <w:pPr>
      <w:pStyle w:val="Zhlav"/>
    </w:pPr>
  </w:p>
  <w:p w14:paraId="4B91CB05" w14:textId="77777777" w:rsidR="00F87D0E" w:rsidRDefault="00F87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3F62121"/>
    <w:multiLevelType w:val="hybridMultilevel"/>
    <w:tmpl w:val="5ED8124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B8036A"/>
    <w:multiLevelType w:val="hybridMultilevel"/>
    <w:tmpl w:val="453468A2"/>
    <w:lvl w:ilvl="0" w:tplc="0405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BD6ED8"/>
    <w:multiLevelType w:val="multilevel"/>
    <w:tmpl w:val="B5ECA18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9C3947"/>
    <w:multiLevelType w:val="hybridMultilevel"/>
    <w:tmpl w:val="447CA60E"/>
    <w:lvl w:ilvl="0" w:tplc="0405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7555022"/>
    <w:multiLevelType w:val="hybridMultilevel"/>
    <w:tmpl w:val="EC16A152"/>
    <w:lvl w:ilvl="0" w:tplc="C262D1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ACB1862"/>
    <w:multiLevelType w:val="hybridMultilevel"/>
    <w:tmpl w:val="1E923120"/>
    <w:lvl w:ilvl="0" w:tplc="83CEE3F0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B4016B0"/>
    <w:multiLevelType w:val="multilevel"/>
    <w:tmpl w:val="41C201D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color w:val="auto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6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AB4620"/>
    <w:multiLevelType w:val="multilevel"/>
    <w:tmpl w:val="04A68C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05"/>
        </w:tabs>
        <w:ind w:left="14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20"/>
        </w:tabs>
        <w:ind w:left="28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580"/>
        </w:tabs>
        <w:ind w:left="45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640"/>
        </w:tabs>
        <w:ind w:left="56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40"/>
        </w:tabs>
        <w:ind w:left="63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400"/>
        </w:tabs>
        <w:ind w:left="7400" w:hanging="1800"/>
      </w:pPr>
    </w:lvl>
  </w:abstractNum>
  <w:abstractNum w:abstractNumId="9" w15:restartNumberingAfterBreak="0">
    <w:nsid w:val="32053931"/>
    <w:multiLevelType w:val="multilevel"/>
    <w:tmpl w:val="DEDE9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4740709"/>
    <w:multiLevelType w:val="hybridMultilevel"/>
    <w:tmpl w:val="20BC47B0"/>
    <w:lvl w:ilvl="0" w:tplc="C262D1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5856A0E"/>
    <w:multiLevelType w:val="hybridMultilevel"/>
    <w:tmpl w:val="EE4EB5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94765"/>
    <w:multiLevelType w:val="multilevel"/>
    <w:tmpl w:val="41C201D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color w:val="auto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6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CB6583"/>
    <w:multiLevelType w:val="multilevel"/>
    <w:tmpl w:val="0C321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518725A"/>
    <w:multiLevelType w:val="multilevel"/>
    <w:tmpl w:val="B5ECA18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1168F"/>
    <w:multiLevelType w:val="multilevel"/>
    <w:tmpl w:val="51940B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05"/>
        </w:tabs>
        <w:ind w:left="14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20"/>
        </w:tabs>
        <w:ind w:left="28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580"/>
        </w:tabs>
        <w:ind w:left="45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640"/>
        </w:tabs>
        <w:ind w:left="56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40"/>
        </w:tabs>
        <w:ind w:left="63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400"/>
        </w:tabs>
        <w:ind w:left="7400" w:hanging="1800"/>
      </w:pPr>
    </w:lvl>
  </w:abstractNum>
  <w:abstractNum w:abstractNumId="16" w15:restartNumberingAfterBreak="0">
    <w:nsid w:val="48813812"/>
    <w:multiLevelType w:val="multilevel"/>
    <w:tmpl w:val="06762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9E21848"/>
    <w:multiLevelType w:val="hybridMultilevel"/>
    <w:tmpl w:val="7EA26AE2"/>
    <w:lvl w:ilvl="0" w:tplc="0405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A3401B2"/>
    <w:multiLevelType w:val="hybridMultilevel"/>
    <w:tmpl w:val="790A1A0E"/>
    <w:lvl w:ilvl="0" w:tplc="0405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B136B1B"/>
    <w:multiLevelType w:val="multilevel"/>
    <w:tmpl w:val="5F6408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asciiTheme="minorHAnsi" w:hAnsiTheme="minorHAnsi" w:cstheme="minorHAnsi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BBC1D45"/>
    <w:multiLevelType w:val="multilevel"/>
    <w:tmpl w:val="C27CB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BC50FE9"/>
    <w:multiLevelType w:val="multilevel"/>
    <w:tmpl w:val="566CC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444CF"/>
    <w:multiLevelType w:val="hybridMultilevel"/>
    <w:tmpl w:val="01347F2A"/>
    <w:lvl w:ilvl="0" w:tplc="C262D1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0B44541"/>
    <w:multiLevelType w:val="multilevel"/>
    <w:tmpl w:val="865CE8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bullet"/>
      <w:lvlText w:val=""/>
      <w:lvlJc w:val="left"/>
      <w:pPr>
        <w:ind w:left="1572" w:hanging="720"/>
      </w:pPr>
      <w:rPr>
        <w:rFonts w:ascii="Wingdings" w:hAnsi="Wingdings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544400F5"/>
    <w:multiLevelType w:val="hybridMultilevel"/>
    <w:tmpl w:val="EEACD632"/>
    <w:lvl w:ilvl="0" w:tplc="0405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3965DD"/>
    <w:multiLevelType w:val="hybridMultilevel"/>
    <w:tmpl w:val="21B4432C"/>
    <w:lvl w:ilvl="0" w:tplc="04050007">
      <w:start w:val="1"/>
      <w:numFmt w:val="bullet"/>
      <w:lvlText w:val=""/>
      <w:lvlJc w:val="left"/>
      <w:pPr>
        <w:ind w:left="1152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68E43634"/>
    <w:multiLevelType w:val="hybridMultilevel"/>
    <w:tmpl w:val="1B18E5AA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6AA93387"/>
    <w:multiLevelType w:val="hybridMultilevel"/>
    <w:tmpl w:val="EFCE35BC"/>
    <w:lvl w:ilvl="0" w:tplc="04050007">
      <w:start w:val="1"/>
      <w:numFmt w:val="bullet"/>
      <w:lvlText w:val=""/>
      <w:lvlJc w:val="left"/>
      <w:pPr>
        <w:ind w:left="1777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9" w15:restartNumberingAfterBreak="0">
    <w:nsid w:val="74F403E3"/>
    <w:multiLevelType w:val="hybridMultilevel"/>
    <w:tmpl w:val="79984EDE"/>
    <w:lvl w:ilvl="0" w:tplc="0405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639312F"/>
    <w:multiLevelType w:val="hybridMultilevel"/>
    <w:tmpl w:val="3E8C0F62"/>
    <w:lvl w:ilvl="0" w:tplc="0405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DED5183"/>
    <w:multiLevelType w:val="hybridMultilevel"/>
    <w:tmpl w:val="8C3E9FC0"/>
    <w:lvl w:ilvl="0" w:tplc="0405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E597EA0"/>
    <w:multiLevelType w:val="hybridMultilevel"/>
    <w:tmpl w:val="244CDDA0"/>
    <w:lvl w:ilvl="0" w:tplc="0405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92143331">
    <w:abstractNumId w:val="25"/>
  </w:num>
  <w:num w:numId="2" w16cid:durableId="322051655">
    <w:abstractNumId w:val="0"/>
  </w:num>
  <w:num w:numId="3" w16cid:durableId="1062944914">
    <w:abstractNumId w:val="20"/>
  </w:num>
  <w:num w:numId="4" w16cid:durableId="906961131">
    <w:abstractNumId w:val="9"/>
  </w:num>
  <w:num w:numId="5" w16cid:durableId="737242428">
    <w:abstractNumId w:val="23"/>
  </w:num>
  <w:num w:numId="6" w16cid:durableId="1131168877">
    <w:abstractNumId w:val="19"/>
  </w:num>
  <w:num w:numId="7" w16cid:durableId="1734350172">
    <w:abstractNumId w:val="21"/>
  </w:num>
  <w:num w:numId="8" w16cid:durableId="2084331705">
    <w:abstractNumId w:val="16"/>
  </w:num>
  <w:num w:numId="9" w16cid:durableId="1590851174">
    <w:abstractNumId w:val="13"/>
  </w:num>
  <w:num w:numId="10" w16cid:durableId="221336220">
    <w:abstractNumId w:val="11"/>
  </w:num>
  <w:num w:numId="11" w16cid:durableId="113444177">
    <w:abstractNumId w:val="14"/>
  </w:num>
  <w:num w:numId="12" w16cid:durableId="718558233">
    <w:abstractNumId w:val="24"/>
  </w:num>
  <w:num w:numId="13" w16cid:durableId="1757706217">
    <w:abstractNumId w:val="30"/>
  </w:num>
  <w:num w:numId="14" w16cid:durableId="130632325">
    <w:abstractNumId w:val="26"/>
  </w:num>
  <w:num w:numId="15" w16cid:durableId="188225593">
    <w:abstractNumId w:val="2"/>
  </w:num>
  <w:num w:numId="16" w16cid:durableId="1109349198">
    <w:abstractNumId w:val="31"/>
  </w:num>
  <w:num w:numId="17" w16cid:durableId="781458085">
    <w:abstractNumId w:val="32"/>
  </w:num>
  <w:num w:numId="18" w16cid:durableId="118034217">
    <w:abstractNumId w:val="27"/>
  </w:num>
  <w:num w:numId="19" w16cid:durableId="130411660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5841117">
    <w:abstractNumId w:val="29"/>
  </w:num>
  <w:num w:numId="21" w16cid:durableId="1803187764">
    <w:abstractNumId w:val="1"/>
  </w:num>
  <w:num w:numId="22" w16cid:durableId="1560169324">
    <w:abstractNumId w:val="28"/>
  </w:num>
  <w:num w:numId="23" w16cid:durableId="1210730104">
    <w:abstractNumId w:val="4"/>
  </w:num>
  <w:num w:numId="24" w16cid:durableId="274560527">
    <w:abstractNumId w:val="22"/>
  </w:num>
  <w:num w:numId="25" w16cid:durableId="824394418">
    <w:abstractNumId w:val="5"/>
  </w:num>
  <w:num w:numId="26" w16cid:durableId="966815966">
    <w:abstractNumId w:val="10"/>
  </w:num>
  <w:num w:numId="27" w16cid:durableId="205606965">
    <w:abstractNumId w:val="8"/>
  </w:num>
  <w:num w:numId="28" w16cid:durableId="593364470">
    <w:abstractNumId w:val="7"/>
  </w:num>
  <w:num w:numId="29" w16cid:durableId="1971519976">
    <w:abstractNumId w:val="17"/>
  </w:num>
  <w:num w:numId="30" w16cid:durableId="590043632">
    <w:abstractNumId w:val="18"/>
  </w:num>
  <w:num w:numId="31" w16cid:durableId="878979534">
    <w:abstractNumId w:val="3"/>
  </w:num>
  <w:num w:numId="32" w16cid:durableId="120199420">
    <w:abstractNumId w:val="6"/>
  </w:num>
  <w:num w:numId="33" w16cid:durableId="1114717507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F4"/>
    <w:rsid w:val="00000C67"/>
    <w:rsid w:val="00011FE4"/>
    <w:rsid w:val="000131CA"/>
    <w:rsid w:val="00031E50"/>
    <w:rsid w:val="0005205F"/>
    <w:rsid w:val="00060148"/>
    <w:rsid w:val="00072921"/>
    <w:rsid w:val="00093B32"/>
    <w:rsid w:val="000E1ECF"/>
    <w:rsid w:val="000F5337"/>
    <w:rsid w:val="0010186F"/>
    <w:rsid w:val="00105A0F"/>
    <w:rsid w:val="00120309"/>
    <w:rsid w:val="00143DBB"/>
    <w:rsid w:val="0014653F"/>
    <w:rsid w:val="001673AC"/>
    <w:rsid w:val="00167BB5"/>
    <w:rsid w:val="00171864"/>
    <w:rsid w:val="001C3CD2"/>
    <w:rsid w:val="00223E24"/>
    <w:rsid w:val="00267065"/>
    <w:rsid w:val="002939C9"/>
    <w:rsid w:val="002A04A9"/>
    <w:rsid w:val="002A2BE9"/>
    <w:rsid w:val="002C08FA"/>
    <w:rsid w:val="003046BC"/>
    <w:rsid w:val="003167A0"/>
    <w:rsid w:val="0032131F"/>
    <w:rsid w:val="0035020D"/>
    <w:rsid w:val="003C3BDE"/>
    <w:rsid w:val="003C53C3"/>
    <w:rsid w:val="003D2880"/>
    <w:rsid w:val="003D6C52"/>
    <w:rsid w:val="003F4E34"/>
    <w:rsid w:val="00405C0C"/>
    <w:rsid w:val="004154D4"/>
    <w:rsid w:val="00447F47"/>
    <w:rsid w:val="00467288"/>
    <w:rsid w:val="004729B1"/>
    <w:rsid w:val="00485DFC"/>
    <w:rsid w:val="004948A1"/>
    <w:rsid w:val="004B5731"/>
    <w:rsid w:val="004F6AEF"/>
    <w:rsid w:val="00502530"/>
    <w:rsid w:val="00517E77"/>
    <w:rsid w:val="0052021A"/>
    <w:rsid w:val="00536E5B"/>
    <w:rsid w:val="00545C17"/>
    <w:rsid w:val="00564B53"/>
    <w:rsid w:val="0057067B"/>
    <w:rsid w:val="00577D08"/>
    <w:rsid w:val="00582E03"/>
    <w:rsid w:val="00593F50"/>
    <w:rsid w:val="005A5924"/>
    <w:rsid w:val="005A715B"/>
    <w:rsid w:val="005B5385"/>
    <w:rsid w:val="005B7DBF"/>
    <w:rsid w:val="005C0BDE"/>
    <w:rsid w:val="005C4C42"/>
    <w:rsid w:val="005D1B32"/>
    <w:rsid w:val="005D2B8E"/>
    <w:rsid w:val="005D3109"/>
    <w:rsid w:val="005E2355"/>
    <w:rsid w:val="005F672D"/>
    <w:rsid w:val="005F7C6B"/>
    <w:rsid w:val="00616B6E"/>
    <w:rsid w:val="00642CEC"/>
    <w:rsid w:val="0065656F"/>
    <w:rsid w:val="00662651"/>
    <w:rsid w:val="00681B57"/>
    <w:rsid w:val="00695378"/>
    <w:rsid w:val="0069652C"/>
    <w:rsid w:val="006A21D8"/>
    <w:rsid w:val="006C5954"/>
    <w:rsid w:val="006D4FD5"/>
    <w:rsid w:val="006E0DCA"/>
    <w:rsid w:val="006E236A"/>
    <w:rsid w:val="006E419D"/>
    <w:rsid w:val="006E63C7"/>
    <w:rsid w:val="00700D6C"/>
    <w:rsid w:val="00702439"/>
    <w:rsid w:val="007067D5"/>
    <w:rsid w:val="007669E8"/>
    <w:rsid w:val="007C0C40"/>
    <w:rsid w:val="007C5765"/>
    <w:rsid w:val="007D323D"/>
    <w:rsid w:val="00822411"/>
    <w:rsid w:val="008233A4"/>
    <w:rsid w:val="00836D7B"/>
    <w:rsid w:val="00853725"/>
    <w:rsid w:val="008A6012"/>
    <w:rsid w:val="008A72AE"/>
    <w:rsid w:val="008E6BF9"/>
    <w:rsid w:val="008F67F2"/>
    <w:rsid w:val="008F76A1"/>
    <w:rsid w:val="009279AC"/>
    <w:rsid w:val="00956751"/>
    <w:rsid w:val="0096668A"/>
    <w:rsid w:val="009A7713"/>
    <w:rsid w:val="00A37C6A"/>
    <w:rsid w:val="00A423AC"/>
    <w:rsid w:val="00A572CB"/>
    <w:rsid w:val="00AA5BE6"/>
    <w:rsid w:val="00AB0AE8"/>
    <w:rsid w:val="00AC1108"/>
    <w:rsid w:val="00AF1622"/>
    <w:rsid w:val="00AF3F9D"/>
    <w:rsid w:val="00B03B7C"/>
    <w:rsid w:val="00B0585A"/>
    <w:rsid w:val="00B13CC9"/>
    <w:rsid w:val="00B40EF4"/>
    <w:rsid w:val="00B53160"/>
    <w:rsid w:val="00B57959"/>
    <w:rsid w:val="00B67730"/>
    <w:rsid w:val="00B72C2A"/>
    <w:rsid w:val="00B93AE7"/>
    <w:rsid w:val="00BA1821"/>
    <w:rsid w:val="00BA4C2E"/>
    <w:rsid w:val="00BB02C2"/>
    <w:rsid w:val="00BC7106"/>
    <w:rsid w:val="00BD1274"/>
    <w:rsid w:val="00BD2B7C"/>
    <w:rsid w:val="00BF1824"/>
    <w:rsid w:val="00BF58E3"/>
    <w:rsid w:val="00C47629"/>
    <w:rsid w:val="00C70132"/>
    <w:rsid w:val="00C7795B"/>
    <w:rsid w:val="00CD0F00"/>
    <w:rsid w:val="00CE4D1B"/>
    <w:rsid w:val="00CF6CC3"/>
    <w:rsid w:val="00D01C96"/>
    <w:rsid w:val="00D061C0"/>
    <w:rsid w:val="00D23936"/>
    <w:rsid w:val="00D24BF6"/>
    <w:rsid w:val="00D303F7"/>
    <w:rsid w:val="00D70A88"/>
    <w:rsid w:val="00D75041"/>
    <w:rsid w:val="00D97893"/>
    <w:rsid w:val="00DB7B36"/>
    <w:rsid w:val="00DC1917"/>
    <w:rsid w:val="00DC26B1"/>
    <w:rsid w:val="00DD4828"/>
    <w:rsid w:val="00DE4C62"/>
    <w:rsid w:val="00DE527B"/>
    <w:rsid w:val="00E03700"/>
    <w:rsid w:val="00E06160"/>
    <w:rsid w:val="00E25884"/>
    <w:rsid w:val="00E421C5"/>
    <w:rsid w:val="00E6653C"/>
    <w:rsid w:val="00E84838"/>
    <w:rsid w:val="00E868B9"/>
    <w:rsid w:val="00E879C6"/>
    <w:rsid w:val="00EB0D8A"/>
    <w:rsid w:val="00EC2B1E"/>
    <w:rsid w:val="00ED7D65"/>
    <w:rsid w:val="00F03ED7"/>
    <w:rsid w:val="00F066CD"/>
    <w:rsid w:val="00F174D8"/>
    <w:rsid w:val="00F378D7"/>
    <w:rsid w:val="00F56EA1"/>
    <w:rsid w:val="00F64A88"/>
    <w:rsid w:val="00F745D0"/>
    <w:rsid w:val="00F76562"/>
    <w:rsid w:val="00F87D0E"/>
    <w:rsid w:val="00F912EA"/>
    <w:rsid w:val="00FD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670CA"/>
  <w15:docId w15:val="{E711B5AE-9C1C-42A4-ACE0-3E29A5E0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1B32"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011FE4"/>
    <w:rPr>
      <w:i/>
      <w:iCs/>
    </w:rPr>
  </w:style>
  <w:style w:type="character" w:customStyle="1" w:styleId="apple-converted-space">
    <w:name w:val="apple-converted-space"/>
    <w:basedOn w:val="Standardnpsmoodstavce"/>
    <w:rsid w:val="00011FE4"/>
  </w:style>
  <w:style w:type="character" w:customStyle="1" w:styleId="help">
    <w:name w:val="help"/>
    <w:basedOn w:val="Standardnpsmoodstavce"/>
    <w:rsid w:val="00011FE4"/>
  </w:style>
  <w:style w:type="paragraph" w:customStyle="1" w:styleId="Default">
    <w:name w:val="Default"/>
    <w:uiPriority w:val="99"/>
    <w:rsid w:val="00C701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C0BDE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5C0B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C0BD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2588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77D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zscr.cz/clanek/katalog-vydanych-technickych-podminek-pozarni-techniky-a-vecnych-prostredku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1885</Words>
  <Characters>11127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Jani K</cp:lastModifiedBy>
  <cp:revision>72</cp:revision>
  <dcterms:created xsi:type="dcterms:W3CDTF">2024-03-25T10:58:00Z</dcterms:created>
  <dcterms:modified xsi:type="dcterms:W3CDTF">2025-11-10T20:10:00Z</dcterms:modified>
</cp:coreProperties>
</file>